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89" w:rsidRDefault="00BA7B89" w:rsidP="00BA7B89">
      <w:pPr>
        <w:pStyle w:val="Heading1"/>
        <w:numPr>
          <w:ilvl w:val="0"/>
          <w:numId w:val="1"/>
        </w:numPr>
      </w:pPr>
      <w:r>
        <w:t>Recall Plan</w:t>
      </w:r>
    </w:p>
    <w:p w:rsidR="00BA7B89" w:rsidRPr="000D0F15" w:rsidRDefault="00BA7B89" w:rsidP="00BA7B89"/>
    <w:p w:rsidR="00BA7B89" w:rsidRPr="00597027" w:rsidRDefault="00BA7B89" w:rsidP="00BA7B89">
      <w:pPr>
        <w:contextualSpacing/>
        <w:jc w:val="both"/>
        <w:rPr>
          <w:rFonts w:cstheme="minorHAnsi"/>
          <w:szCs w:val="24"/>
        </w:rPr>
      </w:pPr>
      <w:r w:rsidRPr="00597027">
        <w:rPr>
          <w:rFonts w:cstheme="minorHAnsi"/>
          <w:szCs w:val="24"/>
        </w:rPr>
        <w:t xml:space="preserve">This procedure states the action/s </w:t>
      </w:r>
      <w:r>
        <w:rPr>
          <w:rFonts w:cstheme="minorHAnsi"/>
          <w:szCs w:val="24"/>
        </w:rPr>
        <w:t>CGB Enterprises w</w:t>
      </w:r>
      <w:r w:rsidRPr="00597027">
        <w:rPr>
          <w:rFonts w:cstheme="minorHAnsi"/>
          <w:szCs w:val="24"/>
        </w:rPr>
        <w:t>ill take to effectively manage the recall of a food which has been determined to be unsafe or unsuitable.</w:t>
      </w:r>
    </w:p>
    <w:p w:rsidR="00BA7B89" w:rsidRPr="00597027" w:rsidRDefault="00BA7B89" w:rsidP="00BA7B89">
      <w:pPr>
        <w:contextualSpacing/>
        <w:jc w:val="both"/>
        <w:rPr>
          <w:rFonts w:cstheme="minorHAnsi"/>
          <w:szCs w:val="24"/>
        </w:rPr>
      </w:pPr>
    </w:p>
    <w:p w:rsidR="00BA7B89" w:rsidRDefault="00BA7B89" w:rsidP="00BA7B89">
      <w:pPr>
        <w:pStyle w:val="Heading2"/>
        <w:jc w:val="left"/>
        <w:rPr>
          <w:u w:val="single"/>
        </w:rPr>
      </w:pPr>
      <w:r w:rsidRPr="00E70EFC">
        <w:rPr>
          <w:u w:val="single"/>
        </w:rPr>
        <w:t>A. Assigned Responsibilities</w:t>
      </w:r>
    </w:p>
    <w:p w:rsidR="00BA7B89" w:rsidRPr="000D0F15" w:rsidRDefault="00BA7B89" w:rsidP="00BA7B89"/>
    <w:p w:rsidR="00BA7B89" w:rsidRDefault="00BA7B89" w:rsidP="00BA7B89">
      <w:pPr>
        <w:contextualSpacing/>
        <w:jc w:val="both"/>
        <w:rPr>
          <w:rFonts w:cstheme="minorHAnsi"/>
          <w:szCs w:val="24"/>
        </w:rPr>
      </w:pPr>
      <w:r>
        <w:rPr>
          <w:rFonts w:cstheme="minorHAnsi"/>
          <w:szCs w:val="24"/>
        </w:rPr>
        <w:t>Manager</w:t>
      </w:r>
    </w:p>
    <w:p w:rsidR="00BA7B89" w:rsidRPr="00597027" w:rsidRDefault="00BA7B89" w:rsidP="00BA7B89">
      <w:pPr>
        <w:pStyle w:val="ListParagraph"/>
        <w:numPr>
          <w:ilvl w:val="0"/>
          <w:numId w:val="3"/>
        </w:numPr>
        <w:jc w:val="both"/>
        <w:rPr>
          <w:rFonts w:cstheme="minorHAnsi"/>
          <w:szCs w:val="24"/>
        </w:rPr>
      </w:pPr>
      <w:r>
        <w:rPr>
          <w:rFonts w:cstheme="minorHAnsi"/>
          <w:szCs w:val="24"/>
        </w:rPr>
        <w:t>R</w:t>
      </w:r>
      <w:r w:rsidRPr="00597027">
        <w:rPr>
          <w:rFonts w:cstheme="minorHAnsi"/>
          <w:szCs w:val="24"/>
        </w:rPr>
        <w:t>esponsible for the implementation and maintenance of the Recall Procedures</w:t>
      </w:r>
    </w:p>
    <w:p w:rsidR="00BA7B89" w:rsidRDefault="00BA7B89" w:rsidP="00BA7B89">
      <w:pPr>
        <w:contextualSpacing/>
        <w:jc w:val="both"/>
        <w:rPr>
          <w:rFonts w:cstheme="minorHAnsi"/>
          <w:szCs w:val="24"/>
        </w:rPr>
      </w:pPr>
      <w:r>
        <w:rPr>
          <w:rFonts w:cstheme="minorHAnsi"/>
          <w:szCs w:val="24"/>
        </w:rPr>
        <w:t>Recall Co</w:t>
      </w:r>
      <w:r w:rsidRPr="00597027">
        <w:rPr>
          <w:rFonts w:cstheme="minorHAnsi"/>
          <w:szCs w:val="24"/>
        </w:rPr>
        <w:t>ordinator</w:t>
      </w:r>
    </w:p>
    <w:p w:rsidR="00BA7B89" w:rsidRPr="00597027" w:rsidRDefault="00BA7B89" w:rsidP="00BA7B89">
      <w:pPr>
        <w:pStyle w:val="ListParagraph"/>
        <w:numPr>
          <w:ilvl w:val="0"/>
          <w:numId w:val="2"/>
        </w:numPr>
        <w:jc w:val="both"/>
        <w:rPr>
          <w:rFonts w:cstheme="minorHAnsi"/>
          <w:szCs w:val="24"/>
        </w:rPr>
      </w:pPr>
      <w:r>
        <w:rPr>
          <w:rFonts w:cstheme="minorHAnsi"/>
          <w:szCs w:val="24"/>
        </w:rPr>
        <w:t>H</w:t>
      </w:r>
      <w:r w:rsidRPr="00597027">
        <w:rPr>
          <w:rFonts w:cstheme="minorHAnsi"/>
          <w:szCs w:val="24"/>
        </w:rPr>
        <w:t xml:space="preserve">as authority from management to make recall decisions on behalf </w:t>
      </w:r>
      <w:r>
        <w:rPr>
          <w:rFonts w:cstheme="minorHAnsi"/>
          <w:szCs w:val="24"/>
        </w:rPr>
        <w:t>of CGB Enterprises.</w:t>
      </w:r>
    </w:p>
    <w:p w:rsidR="00BA7B89" w:rsidRDefault="00BA7B89" w:rsidP="00BA7B89">
      <w:pPr>
        <w:pStyle w:val="ListParagraph"/>
        <w:numPr>
          <w:ilvl w:val="0"/>
          <w:numId w:val="2"/>
        </w:numPr>
        <w:jc w:val="both"/>
        <w:rPr>
          <w:rFonts w:cstheme="minorHAnsi"/>
          <w:szCs w:val="24"/>
        </w:rPr>
      </w:pPr>
      <w:r>
        <w:rPr>
          <w:rFonts w:cstheme="minorHAnsi"/>
          <w:szCs w:val="24"/>
        </w:rPr>
        <w:t>W</w:t>
      </w:r>
      <w:r w:rsidRPr="00597027">
        <w:rPr>
          <w:rFonts w:cstheme="minorHAnsi"/>
          <w:szCs w:val="24"/>
        </w:rPr>
        <w:t>ill initiate the formation of a committee and wi</w:t>
      </w:r>
      <w:r>
        <w:rPr>
          <w:rFonts w:cstheme="minorHAnsi"/>
          <w:szCs w:val="24"/>
        </w:rPr>
        <w:t>ll co</w:t>
      </w:r>
      <w:r w:rsidRPr="00597027">
        <w:rPr>
          <w:rFonts w:cstheme="minorHAnsi"/>
          <w:szCs w:val="24"/>
        </w:rPr>
        <w:t xml:space="preserve">ordinate actions with </w:t>
      </w:r>
      <w:r>
        <w:rPr>
          <w:rFonts w:cstheme="minorHAnsi"/>
          <w:szCs w:val="24"/>
        </w:rPr>
        <w:t>FDA</w:t>
      </w:r>
      <w:r w:rsidRPr="00597027">
        <w:rPr>
          <w:rFonts w:cstheme="minorHAnsi"/>
          <w:szCs w:val="24"/>
        </w:rPr>
        <w:t xml:space="preserve"> and our marketing and distribution agents.</w:t>
      </w:r>
    </w:p>
    <w:p w:rsidR="00BA7B89" w:rsidRDefault="00BA7B89" w:rsidP="00BA7B89">
      <w:pPr>
        <w:pStyle w:val="ListParagraph"/>
        <w:jc w:val="both"/>
        <w:rPr>
          <w:rFonts w:cstheme="minorHAnsi"/>
          <w:szCs w:val="24"/>
        </w:rPr>
      </w:pPr>
    </w:p>
    <w:p w:rsidR="00BA7B89" w:rsidRPr="004B797F" w:rsidRDefault="00BA7B89" w:rsidP="00BA7B89">
      <w:pPr>
        <w:ind w:left="360"/>
        <w:rPr>
          <w:szCs w:val="24"/>
        </w:rPr>
      </w:pPr>
      <w:r w:rsidRPr="004B797F">
        <w:rPr>
          <w:szCs w:val="24"/>
        </w:rPr>
        <w:t>EMERGENCY CONTACT / RECALL LIST</w:t>
      </w:r>
    </w:p>
    <w:p w:rsidR="00BA7B89" w:rsidRDefault="00BA7B89" w:rsidP="00BA7B89">
      <w:pPr>
        <w:pStyle w:val="ListParagraph"/>
        <w:jc w:val="both"/>
      </w:pPr>
    </w:p>
    <w:p w:rsidR="00BA7B89" w:rsidRPr="004B797F" w:rsidRDefault="00BA7B89" w:rsidP="00BA7B89">
      <w:pPr>
        <w:pBdr>
          <w:bottom w:val="single" w:sz="4" w:space="1" w:color="auto"/>
        </w:pBdr>
        <w:jc w:val="both"/>
        <w:rPr>
          <w:sz w:val="22"/>
        </w:rPr>
      </w:pPr>
      <w:r>
        <w:rPr>
          <w:sz w:val="22"/>
        </w:rPr>
        <w:t>Contact</w:t>
      </w:r>
      <w:r w:rsidRPr="004B797F">
        <w:rPr>
          <w:sz w:val="22"/>
        </w:rPr>
        <w:tab/>
      </w:r>
      <w:r w:rsidRPr="004B797F">
        <w:rPr>
          <w:sz w:val="22"/>
        </w:rPr>
        <w:tab/>
      </w:r>
      <w:r w:rsidRPr="004B797F">
        <w:rPr>
          <w:sz w:val="22"/>
        </w:rPr>
        <w:tab/>
      </w:r>
      <w:r w:rsidRPr="004B797F">
        <w:rPr>
          <w:sz w:val="22"/>
        </w:rPr>
        <w:tab/>
      </w:r>
      <w:r w:rsidRPr="004B797F">
        <w:rPr>
          <w:sz w:val="22"/>
        </w:rPr>
        <w:tab/>
      </w:r>
      <w:r>
        <w:rPr>
          <w:sz w:val="22"/>
        </w:rPr>
        <w:tab/>
        <w:t>Office Phone</w:t>
      </w:r>
      <w:r w:rsidRPr="004B797F">
        <w:rPr>
          <w:sz w:val="22"/>
        </w:rPr>
        <w:tab/>
      </w:r>
      <w:r>
        <w:rPr>
          <w:sz w:val="22"/>
        </w:rPr>
        <w:tab/>
        <w:t>Mobile / Cell</w:t>
      </w:r>
    </w:p>
    <w:p w:rsidR="00BA7B89" w:rsidRPr="000D0F15" w:rsidRDefault="00BA7B89" w:rsidP="00BA7B89">
      <w:pPr>
        <w:pStyle w:val="ListParagraph"/>
        <w:jc w:val="both"/>
        <w:rPr>
          <w:sz w:val="16"/>
          <w:szCs w:val="16"/>
        </w:rPr>
      </w:pPr>
    </w:p>
    <w:p w:rsidR="00BA7B89" w:rsidRPr="004B797F" w:rsidRDefault="00BA7B89" w:rsidP="00BA7B89">
      <w:pPr>
        <w:jc w:val="both"/>
        <w:rPr>
          <w:sz w:val="22"/>
        </w:rPr>
      </w:pPr>
      <w:r w:rsidRPr="004B797F">
        <w:rPr>
          <w:sz w:val="22"/>
        </w:rPr>
        <w:t>Main Office</w:t>
      </w:r>
      <w:r w:rsidRPr="004B797F">
        <w:rPr>
          <w:sz w:val="22"/>
        </w:rPr>
        <w:tab/>
      </w:r>
      <w:r w:rsidRPr="004B797F">
        <w:rPr>
          <w:sz w:val="22"/>
        </w:rPr>
        <w:tab/>
      </w:r>
      <w:r w:rsidRPr="004B797F">
        <w:rPr>
          <w:sz w:val="22"/>
        </w:rPr>
        <w:tab/>
      </w:r>
      <w:r w:rsidRPr="004B797F">
        <w:rPr>
          <w:sz w:val="22"/>
        </w:rPr>
        <w:tab/>
      </w:r>
      <w:r w:rsidRPr="004B797F">
        <w:rPr>
          <w:sz w:val="22"/>
        </w:rPr>
        <w:tab/>
        <w:t>812-838-6651</w:t>
      </w:r>
    </w:p>
    <w:p w:rsidR="00BA7B89" w:rsidRDefault="00BA7B89" w:rsidP="00BA7B89">
      <w:pPr>
        <w:jc w:val="both"/>
        <w:rPr>
          <w:i/>
          <w:sz w:val="22"/>
        </w:rPr>
      </w:pPr>
      <w:r w:rsidRPr="004B797F">
        <w:rPr>
          <w:i/>
          <w:sz w:val="22"/>
        </w:rPr>
        <w:t>(M-F 8am-4pm)</w:t>
      </w:r>
    </w:p>
    <w:p w:rsidR="00BA7B89" w:rsidRPr="004B797F" w:rsidRDefault="00BA7B89" w:rsidP="00BA7B89">
      <w:pPr>
        <w:jc w:val="both"/>
        <w:rPr>
          <w:sz w:val="16"/>
          <w:szCs w:val="16"/>
        </w:rPr>
      </w:pPr>
    </w:p>
    <w:p w:rsidR="00BA7B89" w:rsidRPr="004B797F" w:rsidRDefault="00BA7B89" w:rsidP="00BA7B89">
      <w:pPr>
        <w:jc w:val="left"/>
        <w:rPr>
          <w:sz w:val="22"/>
        </w:rPr>
      </w:pPr>
      <w:r>
        <w:rPr>
          <w:sz w:val="22"/>
        </w:rPr>
        <w:t>Louis Volz</w:t>
      </w:r>
      <w:r>
        <w:rPr>
          <w:sz w:val="22"/>
        </w:rPr>
        <w:tab/>
      </w:r>
      <w:r w:rsidRPr="004B797F">
        <w:rPr>
          <w:sz w:val="22"/>
        </w:rPr>
        <w:t xml:space="preserve"> </w:t>
      </w:r>
      <w:r w:rsidRPr="004B797F">
        <w:rPr>
          <w:sz w:val="22"/>
        </w:rPr>
        <w:tab/>
      </w:r>
      <w:r w:rsidRPr="004B797F">
        <w:rPr>
          <w:sz w:val="22"/>
        </w:rPr>
        <w:tab/>
      </w:r>
      <w:r w:rsidRPr="004B797F">
        <w:rPr>
          <w:sz w:val="22"/>
        </w:rPr>
        <w:tab/>
      </w:r>
      <w:r w:rsidRPr="004B797F">
        <w:rPr>
          <w:sz w:val="22"/>
        </w:rPr>
        <w:tab/>
        <w:t>812-833-325</w:t>
      </w:r>
      <w:r>
        <w:rPr>
          <w:sz w:val="22"/>
        </w:rPr>
        <w:t>6</w:t>
      </w:r>
      <w:r w:rsidRPr="004B797F">
        <w:rPr>
          <w:sz w:val="22"/>
        </w:rPr>
        <w:tab/>
      </w:r>
      <w:r w:rsidRPr="004B797F">
        <w:rPr>
          <w:sz w:val="22"/>
        </w:rPr>
        <w:tab/>
        <w:t>812-</w:t>
      </w:r>
      <w:r>
        <w:rPr>
          <w:sz w:val="22"/>
        </w:rPr>
        <w:t>781-9695</w:t>
      </w:r>
    </w:p>
    <w:p w:rsidR="00BA7B89" w:rsidRPr="004B797F" w:rsidRDefault="00BA7B89" w:rsidP="00BA7B89">
      <w:pPr>
        <w:jc w:val="left"/>
        <w:rPr>
          <w:i/>
          <w:sz w:val="22"/>
        </w:rPr>
      </w:pPr>
      <w:r w:rsidRPr="004B797F">
        <w:rPr>
          <w:i/>
          <w:sz w:val="22"/>
        </w:rPr>
        <w:t>Soybean Processing Plant Mgr.</w:t>
      </w:r>
    </w:p>
    <w:p w:rsidR="00BA7B89" w:rsidRPr="004B797F" w:rsidRDefault="00BA7B89" w:rsidP="00BA7B89">
      <w:pPr>
        <w:pStyle w:val="ListParagraph"/>
        <w:jc w:val="left"/>
        <w:rPr>
          <w:sz w:val="16"/>
          <w:szCs w:val="16"/>
        </w:rPr>
      </w:pPr>
    </w:p>
    <w:p w:rsidR="00BA7B89" w:rsidRPr="004B797F" w:rsidRDefault="00BA7B89" w:rsidP="00BA7B89">
      <w:pPr>
        <w:jc w:val="left"/>
        <w:rPr>
          <w:sz w:val="22"/>
        </w:rPr>
      </w:pPr>
      <w:r w:rsidRPr="004B797F">
        <w:rPr>
          <w:sz w:val="22"/>
        </w:rPr>
        <w:t>Bennie Trent</w:t>
      </w:r>
      <w:r w:rsidRPr="004B797F">
        <w:rPr>
          <w:sz w:val="22"/>
        </w:rPr>
        <w:tab/>
      </w:r>
      <w:r w:rsidRPr="004B797F">
        <w:rPr>
          <w:sz w:val="22"/>
        </w:rPr>
        <w:tab/>
      </w:r>
      <w:r w:rsidRPr="004B797F">
        <w:rPr>
          <w:sz w:val="22"/>
        </w:rPr>
        <w:tab/>
      </w:r>
      <w:r w:rsidRPr="004B797F">
        <w:rPr>
          <w:sz w:val="22"/>
        </w:rPr>
        <w:tab/>
      </w:r>
      <w:r>
        <w:rPr>
          <w:sz w:val="22"/>
        </w:rPr>
        <w:tab/>
      </w:r>
      <w:r w:rsidRPr="004B797F">
        <w:rPr>
          <w:sz w:val="22"/>
        </w:rPr>
        <w:t>812-833-3208</w:t>
      </w:r>
      <w:r w:rsidRPr="004B797F">
        <w:rPr>
          <w:sz w:val="22"/>
        </w:rPr>
        <w:tab/>
      </w:r>
      <w:r w:rsidRPr="004B797F">
        <w:rPr>
          <w:sz w:val="22"/>
        </w:rPr>
        <w:tab/>
        <w:t>812-457-6506</w:t>
      </w:r>
    </w:p>
    <w:p w:rsidR="00BA7B89" w:rsidRDefault="00BA7B89" w:rsidP="00BA7B89">
      <w:pPr>
        <w:jc w:val="left"/>
        <w:rPr>
          <w:i/>
          <w:sz w:val="22"/>
        </w:rPr>
      </w:pPr>
      <w:r w:rsidRPr="004B797F">
        <w:rPr>
          <w:i/>
          <w:sz w:val="22"/>
        </w:rPr>
        <w:t>Safety</w:t>
      </w:r>
      <w:r>
        <w:rPr>
          <w:i/>
          <w:sz w:val="22"/>
        </w:rPr>
        <w:t xml:space="preserve"> &amp; Health</w:t>
      </w:r>
      <w:r w:rsidRPr="004B797F">
        <w:rPr>
          <w:i/>
          <w:sz w:val="22"/>
        </w:rPr>
        <w:t xml:space="preserve"> Mgr.</w:t>
      </w:r>
    </w:p>
    <w:p w:rsidR="00BA7B89" w:rsidRPr="004B797F" w:rsidRDefault="00BA7B89" w:rsidP="00BA7B89">
      <w:pPr>
        <w:jc w:val="left"/>
        <w:rPr>
          <w:i/>
          <w:sz w:val="16"/>
          <w:szCs w:val="16"/>
        </w:rPr>
      </w:pPr>
    </w:p>
    <w:p w:rsidR="00BA7B89" w:rsidRPr="004B797F" w:rsidRDefault="00BA7B89" w:rsidP="00BA7B89">
      <w:pPr>
        <w:jc w:val="left"/>
        <w:rPr>
          <w:sz w:val="22"/>
        </w:rPr>
      </w:pPr>
      <w:r w:rsidRPr="004B797F">
        <w:rPr>
          <w:sz w:val="22"/>
        </w:rPr>
        <w:t xml:space="preserve">Bill McBee  </w:t>
      </w:r>
      <w:r w:rsidRPr="004B797F">
        <w:rPr>
          <w:sz w:val="22"/>
        </w:rPr>
        <w:tab/>
      </w:r>
      <w:r w:rsidRPr="004B797F">
        <w:rPr>
          <w:sz w:val="22"/>
        </w:rPr>
        <w:tab/>
      </w:r>
      <w:r w:rsidRPr="004B797F">
        <w:rPr>
          <w:sz w:val="22"/>
        </w:rPr>
        <w:tab/>
      </w:r>
      <w:r w:rsidRPr="004B797F">
        <w:rPr>
          <w:sz w:val="22"/>
        </w:rPr>
        <w:tab/>
      </w:r>
      <w:r w:rsidRPr="004B797F">
        <w:rPr>
          <w:sz w:val="22"/>
        </w:rPr>
        <w:tab/>
        <w:t>812-833-3213</w:t>
      </w:r>
      <w:r w:rsidRPr="004B797F">
        <w:rPr>
          <w:sz w:val="22"/>
        </w:rPr>
        <w:tab/>
      </w:r>
      <w:r w:rsidRPr="004B797F">
        <w:rPr>
          <w:sz w:val="22"/>
        </w:rPr>
        <w:tab/>
        <w:t>812-431-3314</w:t>
      </w:r>
    </w:p>
    <w:p w:rsidR="00BA7B89" w:rsidRPr="004B797F" w:rsidRDefault="00BA7B89" w:rsidP="00BA7B89">
      <w:pPr>
        <w:jc w:val="left"/>
        <w:rPr>
          <w:i/>
          <w:sz w:val="22"/>
        </w:rPr>
      </w:pPr>
      <w:r w:rsidRPr="004B797F">
        <w:rPr>
          <w:i/>
          <w:sz w:val="22"/>
        </w:rPr>
        <w:t>Commodities Trader</w:t>
      </w:r>
      <w:r w:rsidRPr="004B797F">
        <w:rPr>
          <w:i/>
          <w:sz w:val="22"/>
        </w:rPr>
        <w:tab/>
      </w:r>
      <w:r w:rsidRPr="004B797F">
        <w:rPr>
          <w:i/>
          <w:sz w:val="22"/>
        </w:rPr>
        <w:tab/>
      </w:r>
      <w:r w:rsidRPr="004B797F">
        <w:rPr>
          <w:i/>
          <w:sz w:val="22"/>
        </w:rPr>
        <w:tab/>
      </w:r>
    </w:p>
    <w:p w:rsidR="00BA7B89" w:rsidRPr="004B797F" w:rsidRDefault="00BA7B89" w:rsidP="00BA7B89">
      <w:pPr>
        <w:pStyle w:val="ListParagraph"/>
        <w:jc w:val="left"/>
        <w:rPr>
          <w:sz w:val="22"/>
        </w:rPr>
      </w:pPr>
    </w:p>
    <w:p w:rsidR="00BA7B89" w:rsidRPr="004B797F" w:rsidRDefault="00BA7B89" w:rsidP="00BA7B89">
      <w:pPr>
        <w:jc w:val="both"/>
        <w:rPr>
          <w:rFonts w:cstheme="minorHAnsi"/>
          <w:szCs w:val="24"/>
        </w:rPr>
      </w:pPr>
    </w:p>
    <w:p w:rsidR="00BA7B89" w:rsidRPr="00E70EFC" w:rsidRDefault="00BA7B89" w:rsidP="00BA7B89">
      <w:pPr>
        <w:pStyle w:val="Heading2"/>
        <w:jc w:val="left"/>
        <w:rPr>
          <w:u w:val="single"/>
        </w:rPr>
      </w:pPr>
      <w:r w:rsidRPr="00E70EFC">
        <w:rPr>
          <w:u w:val="single"/>
        </w:rPr>
        <w:t>B. Procedures</w:t>
      </w:r>
    </w:p>
    <w:p w:rsidR="00BA7B89" w:rsidRDefault="00BA7B89" w:rsidP="00BA7B89">
      <w:pPr>
        <w:contextualSpacing/>
        <w:jc w:val="both"/>
        <w:rPr>
          <w:rFonts w:cstheme="minorHAnsi"/>
          <w:szCs w:val="24"/>
          <w:u w:val="single"/>
        </w:rPr>
      </w:pPr>
    </w:p>
    <w:p w:rsidR="00BA7B89" w:rsidRPr="00597027" w:rsidRDefault="00BA7B89" w:rsidP="00BA7B89">
      <w:pPr>
        <w:contextualSpacing/>
        <w:jc w:val="both"/>
        <w:rPr>
          <w:rFonts w:cstheme="minorHAnsi"/>
          <w:szCs w:val="24"/>
          <w:u w:val="single"/>
        </w:rPr>
      </w:pPr>
      <w:r w:rsidRPr="00597027">
        <w:rPr>
          <w:rFonts w:cstheme="minorHAnsi"/>
          <w:szCs w:val="24"/>
          <w:u w:val="single"/>
        </w:rPr>
        <w:t>Decision to Recall</w:t>
      </w:r>
      <w:r>
        <w:rPr>
          <w:rFonts w:cstheme="minorHAnsi"/>
          <w:szCs w:val="24"/>
          <w:u w:val="single"/>
        </w:rPr>
        <w:t xml:space="preserve"> - Determined by Recall Coordinator</w:t>
      </w:r>
    </w:p>
    <w:p w:rsidR="00BA7B89" w:rsidRPr="00597027" w:rsidRDefault="00BA7B89" w:rsidP="00BA7B89">
      <w:pPr>
        <w:contextualSpacing/>
        <w:jc w:val="left"/>
        <w:rPr>
          <w:rFonts w:cstheme="minorHAnsi"/>
          <w:szCs w:val="24"/>
        </w:rPr>
      </w:pPr>
      <w:r w:rsidRPr="00597027">
        <w:rPr>
          <w:rFonts w:cstheme="minorHAnsi"/>
          <w:szCs w:val="24"/>
        </w:rPr>
        <w:t xml:space="preserve">The decision on whether to recall or withdraw a </w:t>
      </w:r>
      <w:r>
        <w:rPr>
          <w:rFonts w:cstheme="minorHAnsi"/>
          <w:szCs w:val="24"/>
        </w:rPr>
        <w:t>feed</w:t>
      </w:r>
      <w:r w:rsidRPr="00597027">
        <w:rPr>
          <w:rFonts w:cstheme="minorHAnsi"/>
          <w:szCs w:val="24"/>
        </w:rPr>
        <w:t xml:space="preserve"> or not will be based on the identification of a hazard that makes a </w:t>
      </w:r>
      <w:r>
        <w:rPr>
          <w:rFonts w:cstheme="minorHAnsi"/>
          <w:szCs w:val="24"/>
        </w:rPr>
        <w:t>feed</w:t>
      </w:r>
      <w:r w:rsidRPr="00597027">
        <w:rPr>
          <w:rFonts w:cstheme="minorHAnsi"/>
          <w:szCs w:val="24"/>
        </w:rPr>
        <w:t xml:space="preserve"> unsafe and its likelihood of affecting animal </w:t>
      </w:r>
      <w:r>
        <w:rPr>
          <w:rFonts w:cstheme="minorHAnsi"/>
          <w:szCs w:val="24"/>
        </w:rPr>
        <w:t xml:space="preserve">or human health. </w:t>
      </w:r>
      <w:r w:rsidRPr="00597027">
        <w:rPr>
          <w:rFonts w:cstheme="minorHAnsi"/>
          <w:szCs w:val="24"/>
        </w:rPr>
        <w:t>This will be determined by carefu</w:t>
      </w:r>
      <w:r>
        <w:rPr>
          <w:rFonts w:cstheme="minorHAnsi"/>
          <w:szCs w:val="24"/>
        </w:rPr>
        <w:t>l, considered risk assessment. A</w:t>
      </w:r>
      <w:r w:rsidRPr="00597027">
        <w:rPr>
          <w:rFonts w:cstheme="minorHAnsi"/>
          <w:szCs w:val="24"/>
        </w:rPr>
        <w:t xml:space="preserve"> risk assessment</w:t>
      </w:r>
      <w:r>
        <w:rPr>
          <w:rFonts w:cstheme="minorHAnsi"/>
          <w:szCs w:val="24"/>
        </w:rPr>
        <w:t xml:space="preserve"> will be conducted, and may include collaboration with regulatory authorities to determine if a recall is necessary</w:t>
      </w:r>
      <w:r w:rsidRPr="00597027">
        <w:rPr>
          <w:rFonts w:cstheme="minorHAnsi"/>
          <w:szCs w:val="24"/>
        </w:rPr>
        <w:t>.</w:t>
      </w:r>
    </w:p>
    <w:p w:rsidR="00BA7B89" w:rsidRDefault="00BA7B89" w:rsidP="00BA7B89">
      <w:pPr>
        <w:contextualSpacing/>
        <w:jc w:val="left"/>
        <w:rPr>
          <w:rFonts w:cstheme="minorHAnsi"/>
          <w:szCs w:val="24"/>
          <w:u w:val="single"/>
        </w:rPr>
      </w:pPr>
    </w:p>
    <w:p w:rsidR="00BA7B89" w:rsidRPr="00597027" w:rsidRDefault="00BA7B89" w:rsidP="00BA7B89">
      <w:pPr>
        <w:contextualSpacing/>
        <w:jc w:val="left"/>
        <w:rPr>
          <w:rFonts w:cstheme="minorHAnsi"/>
          <w:szCs w:val="24"/>
          <w:u w:val="single"/>
        </w:rPr>
      </w:pPr>
      <w:r w:rsidRPr="00597027">
        <w:rPr>
          <w:rFonts w:cstheme="minorHAnsi"/>
          <w:szCs w:val="24"/>
          <w:u w:val="single"/>
        </w:rPr>
        <w:t>Scope of Recall</w:t>
      </w:r>
      <w:r>
        <w:rPr>
          <w:rFonts w:cstheme="minorHAnsi"/>
          <w:szCs w:val="24"/>
          <w:u w:val="single"/>
        </w:rPr>
        <w:t xml:space="preserve"> - Determined by Recall Coordinator</w:t>
      </w:r>
    </w:p>
    <w:p w:rsidR="00BA7B89" w:rsidRPr="00597027" w:rsidRDefault="00BA7B89" w:rsidP="00BA7B89">
      <w:pPr>
        <w:contextualSpacing/>
        <w:jc w:val="left"/>
        <w:rPr>
          <w:rFonts w:cstheme="minorHAnsi"/>
          <w:szCs w:val="24"/>
        </w:rPr>
      </w:pPr>
      <w:r w:rsidRPr="00597027">
        <w:rPr>
          <w:rFonts w:cstheme="minorHAnsi"/>
          <w:szCs w:val="24"/>
        </w:rPr>
        <w:t xml:space="preserve">The scope of a recall is a very important part of the process; it ultimately ensures the effective identification of all affected </w:t>
      </w:r>
      <w:r>
        <w:rPr>
          <w:rFonts w:cstheme="minorHAnsi"/>
          <w:szCs w:val="24"/>
        </w:rPr>
        <w:t>product</w:t>
      </w:r>
      <w:r w:rsidRPr="00597027">
        <w:rPr>
          <w:rFonts w:cstheme="minorHAnsi"/>
          <w:szCs w:val="24"/>
        </w:rPr>
        <w:t xml:space="preserve">.  </w:t>
      </w:r>
    </w:p>
    <w:p w:rsidR="00BA7B89" w:rsidRDefault="00BA7B89" w:rsidP="00BA7B89">
      <w:pPr>
        <w:contextualSpacing/>
        <w:jc w:val="both"/>
        <w:rPr>
          <w:rFonts w:cstheme="minorHAnsi"/>
          <w:szCs w:val="24"/>
        </w:rPr>
      </w:pPr>
    </w:p>
    <w:p w:rsidR="00BA7B89" w:rsidRDefault="00BA7B89" w:rsidP="00BA7B89">
      <w:pPr>
        <w:contextualSpacing/>
        <w:jc w:val="both"/>
        <w:rPr>
          <w:rFonts w:cstheme="minorHAnsi"/>
          <w:szCs w:val="24"/>
        </w:rPr>
      </w:pPr>
    </w:p>
    <w:p w:rsidR="00BA7B89" w:rsidRPr="00597027" w:rsidRDefault="00BA7B89" w:rsidP="00BA7B89">
      <w:pPr>
        <w:contextualSpacing/>
        <w:jc w:val="both"/>
        <w:rPr>
          <w:rFonts w:cstheme="minorHAnsi"/>
          <w:szCs w:val="24"/>
          <w:u w:val="single"/>
        </w:rPr>
      </w:pPr>
      <w:r w:rsidRPr="00597027">
        <w:rPr>
          <w:rFonts w:cstheme="minorHAnsi"/>
          <w:szCs w:val="24"/>
          <w:u w:val="single"/>
        </w:rPr>
        <w:t>Notification of a product recall</w:t>
      </w:r>
      <w:r>
        <w:rPr>
          <w:rFonts w:cstheme="minorHAnsi"/>
          <w:szCs w:val="24"/>
          <w:u w:val="single"/>
        </w:rPr>
        <w:t xml:space="preserve"> - Determined by Recall Coordinator</w:t>
      </w:r>
    </w:p>
    <w:p w:rsidR="00BA7B89" w:rsidRPr="00597027" w:rsidRDefault="00BA7B89" w:rsidP="00BA7B89">
      <w:pPr>
        <w:contextualSpacing/>
        <w:jc w:val="both"/>
        <w:rPr>
          <w:rFonts w:cstheme="minorHAnsi"/>
          <w:szCs w:val="24"/>
        </w:rPr>
      </w:pPr>
      <w:r w:rsidRPr="00597027">
        <w:rPr>
          <w:rFonts w:cstheme="minorHAnsi"/>
          <w:szCs w:val="24"/>
        </w:rPr>
        <w:t xml:space="preserve">If the decision is taken to initiate a </w:t>
      </w:r>
      <w:r>
        <w:rPr>
          <w:rFonts w:cstheme="minorHAnsi"/>
          <w:szCs w:val="24"/>
        </w:rPr>
        <w:t>recall,</w:t>
      </w:r>
      <w:r w:rsidRPr="00597027">
        <w:rPr>
          <w:rFonts w:cstheme="minorHAnsi"/>
          <w:szCs w:val="24"/>
        </w:rPr>
        <w:t xml:space="preserve"> we will notify:</w:t>
      </w:r>
    </w:p>
    <w:p w:rsidR="00BA7B89" w:rsidRPr="00597027" w:rsidRDefault="00BA7B89" w:rsidP="00BA7B89">
      <w:pPr>
        <w:contextualSpacing/>
        <w:jc w:val="both"/>
        <w:rPr>
          <w:rFonts w:cstheme="minorHAnsi"/>
          <w:szCs w:val="24"/>
        </w:rPr>
      </w:pPr>
      <w:r w:rsidRPr="00597027">
        <w:rPr>
          <w:rFonts w:cstheme="minorHAnsi"/>
          <w:szCs w:val="24"/>
        </w:rPr>
        <w:t>•</w:t>
      </w:r>
      <w:r w:rsidRPr="00597027">
        <w:rPr>
          <w:rFonts w:cstheme="minorHAnsi"/>
          <w:szCs w:val="24"/>
        </w:rPr>
        <w:tab/>
        <w:t xml:space="preserve">Senior management of </w:t>
      </w:r>
      <w:r>
        <w:rPr>
          <w:rFonts w:cstheme="minorHAnsi"/>
          <w:szCs w:val="24"/>
        </w:rPr>
        <w:t>CGB Enterprises</w:t>
      </w:r>
    </w:p>
    <w:p w:rsidR="00BA7B89" w:rsidRPr="00597027" w:rsidRDefault="00BA7B89" w:rsidP="00BA7B89">
      <w:pPr>
        <w:contextualSpacing/>
        <w:jc w:val="both"/>
        <w:rPr>
          <w:rFonts w:cstheme="minorHAnsi"/>
          <w:szCs w:val="24"/>
        </w:rPr>
      </w:pPr>
      <w:r w:rsidRPr="00597027">
        <w:rPr>
          <w:rFonts w:cstheme="minorHAnsi"/>
          <w:szCs w:val="24"/>
        </w:rPr>
        <w:t>•</w:t>
      </w:r>
      <w:r w:rsidRPr="00597027">
        <w:rPr>
          <w:rFonts w:cstheme="minorHAnsi"/>
          <w:szCs w:val="24"/>
        </w:rPr>
        <w:tab/>
      </w:r>
      <w:r>
        <w:rPr>
          <w:rFonts w:cstheme="minorHAnsi"/>
          <w:szCs w:val="24"/>
        </w:rPr>
        <w:t>Regulatory authority</w:t>
      </w:r>
    </w:p>
    <w:p w:rsidR="00BA7B89" w:rsidRDefault="00BA7B89" w:rsidP="00BA7B89">
      <w:pPr>
        <w:contextualSpacing/>
        <w:jc w:val="both"/>
        <w:rPr>
          <w:rFonts w:cstheme="minorHAnsi"/>
          <w:szCs w:val="24"/>
        </w:rPr>
      </w:pPr>
      <w:r w:rsidRPr="00597027">
        <w:rPr>
          <w:rFonts w:cstheme="minorHAnsi"/>
          <w:szCs w:val="24"/>
        </w:rPr>
        <w:t>•</w:t>
      </w:r>
      <w:r w:rsidRPr="00597027">
        <w:rPr>
          <w:rFonts w:cstheme="minorHAnsi"/>
          <w:szCs w:val="24"/>
        </w:rPr>
        <w:tab/>
      </w:r>
      <w:r>
        <w:rPr>
          <w:rFonts w:cstheme="minorHAnsi"/>
          <w:szCs w:val="24"/>
        </w:rPr>
        <w:t>Consignees (distribution chain and consumer)</w:t>
      </w:r>
    </w:p>
    <w:p w:rsidR="00BA7B89" w:rsidRDefault="00BA7B89" w:rsidP="00BA7B89">
      <w:pPr>
        <w:contextualSpacing/>
        <w:jc w:val="both"/>
        <w:rPr>
          <w:rFonts w:cstheme="minorHAnsi"/>
          <w:szCs w:val="24"/>
        </w:rPr>
      </w:pPr>
      <w:r w:rsidRPr="00597027">
        <w:rPr>
          <w:rFonts w:cstheme="minorHAnsi"/>
          <w:szCs w:val="24"/>
        </w:rPr>
        <w:t>•</w:t>
      </w:r>
      <w:r w:rsidRPr="00597027">
        <w:rPr>
          <w:rFonts w:cstheme="minorHAnsi"/>
          <w:szCs w:val="24"/>
        </w:rPr>
        <w:tab/>
      </w:r>
      <w:r>
        <w:rPr>
          <w:rFonts w:cstheme="minorHAnsi"/>
          <w:szCs w:val="24"/>
        </w:rPr>
        <w:t>The public</w:t>
      </w:r>
      <w:r w:rsidRPr="00597027">
        <w:rPr>
          <w:rFonts w:cstheme="minorHAnsi"/>
          <w:szCs w:val="24"/>
        </w:rPr>
        <w:t>, via the media contac</w:t>
      </w:r>
      <w:r>
        <w:rPr>
          <w:rFonts w:cstheme="minorHAnsi"/>
          <w:szCs w:val="24"/>
        </w:rPr>
        <w:t>t, if necessary</w:t>
      </w:r>
    </w:p>
    <w:p w:rsidR="00BA7B89" w:rsidRDefault="00BA7B89" w:rsidP="00BA7B89">
      <w:pPr>
        <w:contextualSpacing/>
        <w:jc w:val="both"/>
        <w:rPr>
          <w:rFonts w:cstheme="minorHAnsi"/>
          <w:szCs w:val="24"/>
        </w:rPr>
      </w:pPr>
      <w:r w:rsidRPr="00597027">
        <w:rPr>
          <w:rFonts w:cstheme="minorHAnsi"/>
          <w:szCs w:val="24"/>
        </w:rPr>
        <w:t>•</w:t>
      </w:r>
      <w:r w:rsidRPr="00597027">
        <w:rPr>
          <w:rFonts w:cstheme="minorHAnsi"/>
          <w:szCs w:val="24"/>
        </w:rPr>
        <w:tab/>
      </w:r>
      <w:r>
        <w:rPr>
          <w:rFonts w:cstheme="minorHAnsi"/>
          <w:szCs w:val="24"/>
        </w:rPr>
        <w:t>Registrar for GMP+ (Currently SGS)</w:t>
      </w:r>
    </w:p>
    <w:p w:rsidR="00BA7B89" w:rsidRPr="00060208" w:rsidRDefault="00BA7B89" w:rsidP="00BA7B89">
      <w:pPr>
        <w:jc w:val="both"/>
        <w:rPr>
          <w:rFonts w:cstheme="minorHAnsi"/>
          <w:szCs w:val="24"/>
        </w:rPr>
      </w:pPr>
    </w:p>
    <w:p w:rsidR="00BA7B89" w:rsidRPr="00060208" w:rsidRDefault="00BA7B89" w:rsidP="00BA7B89">
      <w:pPr>
        <w:jc w:val="both"/>
        <w:rPr>
          <w:rFonts w:cstheme="minorHAnsi"/>
          <w:szCs w:val="24"/>
        </w:rPr>
      </w:pPr>
    </w:p>
    <w:p w:rsidR="00BA7B89" w:rsidRDefault="00BA7B89" w:rsidP="00BA7B89">
      <w:pPr>
        <w:contextualSpacing/>
        <w:jc w:val="both"/>
        <w:rPr>
          <w:rFonts w:cstheme="minorHAnsi"/>
          <w:szCs w:val="24"/>
          <w:u w:val="single"/>
        </w:rPr>
      </w:pPr>
    </w:p>
    <w:p w:rsidR="00BA7B89" w:rsidRPr="00597027" w:rsidRDefault="00BA7B89" w:rsidP="00BA7B89">
      <w:pPr>
        <w:contextualSpacing/>
        <w:jc w:val="both"/>
        <w:rPr>
          <w:rFonts w:cstheme="minorHAnsi"/>
          <w:szCs w:val="24"/>
          <w:u w:val="single"/>
        </w:rPr>
      </w:pPr>
      <w:r w:rsidRPr="00597027">
        <w:rPr>
          <w:rFonts w:cstheme="minorHAnsi"/>
          <w:szCs w:val="24"/>
          <w:u w:val="single"/>
        </w:rPr>
        <w:t>Communication</w:t>
      </w:r>
      <w:r>
        <w:rPr>
          <w:rFonts w:cstheme="minorHAnsi"/>
          <w:szCs w:val="24"/>
          <w:u w:val="single"/>
        </w:rPr>
        <w:t xml:space="preserve"> - Determined by Recall Coordinator</w:t>
      </w:r>
    </w:p>
    <w:p w:rsidR="00BA7B89" w:rsidRPr="00597027" w:rsidRDefault="00BA7B89" w:rsidP="00BA7B89">
      <w:pPr>
        <w:contextualSpacing/>
        <w:jc w:val="both"/>
        <w:rPr>
          <w:rFonts w:cstheme="minorHAnsi"/>
          <w:szCs w:val="24"/>
        </w:rPr>
      </w:pPr>
      <w:r w:rsidRPr="00597027">
        <w:rPr>
          <w:rFonts w:cstheme="minorHAnsi"/>
          <w:szCs w:val="24"/>
        </w:rPr>
        <w:t>Notification in respect to the recall needs to be done promptly and should cover the following areas:</w:t>
      </w:r>
    </w:p>
    <w:p w:rsidR="00BA7B89" w:rsidRPr="00597027" w:rsidRDefault="00BA7B89" w:rsidP="00BA7B89">
      <w:pPr>
        <w:contextualSpacing/>
        <w:jc w:val="both"/>
        <w:rPr>
          <w:rFonts w:cstheme="minorHAnsi"/>
          <w:szCs w:val="24"/>
        </w:rPr>
      </w:pPr>
      <w:r>
        <w:rPr>
          <w:rFonts w:cstheme="minorHAnsi"/>
          <w:szCs w:val="24"/>
        </w:rPr>
        <w:t xml:space="preserve">1. </w:t>
      </w:r>
      <w:r w:rsidRPr="00597027">
        <w:rPr>
          <w:rFonts w:cstheme="minorHAnsi"/>
          <w:szCs w:val="24"/>
        </w:rPr>
        <w:t>Regulatory Authority</w:t>
      </w:r>
      <w:r>
        <w:rPr>
          <w:rFonts w:cstheme="minorHAnsi"/>
          <w:szCs w:val="24"/>
        </w:rPr>
        <w:t xml:space="preserve">: </w:t>
      </w:r>
      <w:r w:rsidRPr="00597027">
        <w:rPr>
          <w:rFonts w:cstheme="minorHAnsi"/>
          <w:szCs w:val="24"/>
        </w:rPr>
        <w:t>We will notify the appropriate regulator at the earliest opportunity, after an incident is identified that may lead to a recall.  The regulatory authority will be updated throughout the process.</w:t>
      </w:r>
    </w:p>
    <w:p w:rsidR="00BA7B89" w:rsidRDefault="00BA7B89" w:rsidP="00BA7B89">
      <w:pPr>
        <w:contextualSpacing/>
        <w:jc w:val="both"/>
        <w:rPr>
          <w:rFonts w:cstheme="minorHAnsi"/>
          <w:szCs w:val="24"/>
        </w:rPr>
      </w:pPr>
    </w:p>
    <w:p w:rsidR="00BA7B89" w:rsidRPr="00597027" w:rsidRDefault="00BA7B89" w:rsidP="00BA7B89">
      <w:pPr>
        <w:contextualSpacing/>
        <w:jc w:val="both"/>
        <w:rPr>
          <w:rFonts w:cstheme="minorHAnsi"/>
          <w:szCs w:val="24"/>
        </w:rPr>
      </w:pPr>
      <w:r>
        <w:rPr>
          <w:rFonts w:cstheme="minorHAnsi"/>
          <w:szCs w:val="24"/>
        </w:rPr>
        <w:t xml:space="preserve">2. </w:t>
      </w:r>
      <w:r w:rsidRPr="00597027">
        <w:rPr>
          <w:rFonts w:cstheme="minorHAnsi"/>
          <w:szCs w:val="24"/>
        </w:rPr>
        <w:t>Distribution Chain</w:t>
      </w:r>
      <w:r>
        <w:rPr>
          <w:rFonts w:cstheme="minorHAnsi"/>
          <w:szCs w:val="24"/>
        </w:rPr>
        <w:t xml:space="preserve">: </w:t>
      </w:r>
      <w:r w:rsidRPr="00597027">
        <w:rPr>
          <w:rFonts w:cstheme="minorHAnsi"/>
          <w:szCs w:val="24"/>
        </w:rPr>
        <w:t xml:space="preserve">We will notify contacts by telephone and fax or email.  </w:t>
      </w:r>
    </w:p>
    <w:p w:rsidR="00BA7B89" w:rsidRDefault="00BA7B89" w:rsidP="00BA7B89">
      <w:pPr>
        <w:contextualSpacing/>
        <w:jc w:val="both"/>
        <w:rPr>
          <w:rFonts w:cstheme="minorHAnsi"/>
          <w:szCs w:val="24"/>
        </w:rPr>
      </w:pPr>
    </w:p>
    <w:p w:rsidR="00BA7B89" w:rsidRDefault="00BA7B89" w:rsidP="00BA7B89">
      <w:pPr>
        <w:rPr>
          <w:u w:val="single"/>
        </w:rPr>
      </w:pPr>
      <w:bookmarkStart w:id="0" w:name="_Toc409012609"/>
    </w:p>
    <w:bookmarkEnd w:id="0"/>
    <w:p w:rsidR="00BA7B89" w:rsidRPr="00253E49" w:rsidRDefault="00BA7B89" w:rsidP="00BA7B89">
      <w:pPr>
        <w:pStyle w:val="Heading3"/>
        <w:jc w:val="left"/>
      </w:pPr>
      <w:r>
        <w:t>1. Notification of Direct Consignees</w:t>
      </w:r>
    </w:p>
    <w:p w:rsidR="00BA7B89" w:rsidRDefault="00BA7B89" w:rsidP="00BA7B89">
      <w:pPr>
        <w:jc w:val="left"/>
        <w:rPr>
          <w:rFonts w:cs="Helvetica"/>
          <w:color w:val="333333"/>
        </w:rPr>
      </w:pPr>
      <w:r>
        <w:rPr>
          <w:rFonts w:cs="Helvetica"/>
          <w:color w:val="333333"/>
        </w:rPr>
        <w:t xml:space="preserve">A consignee list will be compiled. Consignees will be notified by mail, phone, facsimile or </w:t>
      </w:r>
      <w:r w:rsidRPr="000613A1">
        <w:rPr>
          <w:rFonts w:cs="Helvetica"/>
          <w:color w:val="333333"/>
        </w:rPr>
        <w:t xml:space="preserve">e-mail. </w:t>
      </w:r>
    </w:p>
    <w:p w:rsidR="00BA7B89" w:rsidRDefault="00BA7B89" w:rsidP="00BA7B89">
      <w:pPr>
        <w:rPr>
          <w:rFonts w:cs="Helvetica"/>
          <w:color w:val="333333"/>
        </w:rPr>
      </w:pPr>
    </w:p>
    <w:p w:rsidR="00BA7B89" w:rsidRDefault="00BA7B89" w:rsidP="00BA7B89">
      <w:pPr>
        <w:rPr>
          <w:rFonts w:asciiTheme="majorHAnsi" w:eastAsiaTheme="majorEastAsia" w:hAnsiTheme="majorHAnsi" w:cstheme="majorBidi"/>
          <w:color w:val="1F4D78" w:themeColor="accent1" w:themeShade="7F"/>
          <w:szCs w:val="24"/>
        </w:rPr>
      </w:pPr>
    </w:p>
    <w:p w:rsidR="00BA7B89" w:rsidRPr="00253E49" w:rsidRDefault="00BA7B89" w:rsidP="00BA7B89">
      <w:pPr>
        <w:pStyle w:val="Heading3"/>
        <w:jc w:val="left"/>
      </w:pPr>
      <w:r>
        <w:t>2. Notification of the public</w:t>
      </w:r>
    </w:p>
    <w:p w:rsidR="00BA7B89" w:rsidRDefault="00BA7B89" w:rsidP="00BA7B89">
      <w:pPr>
        <w:jc w:val="both"/>
        <w:rPr>
          <w:rFonts w:asciiTheme="majorHAnsi" w:eastAsiaTheme="majorEastAsia" w:hAnsiTheme="majorHAnsi" w:cstheme="majorBidi"/>
          <w:b/>
          <w:bCs/>
          <w:i/>
          <w:color w:val="333333"/>
        </w:rPr>
      </w:pPr>
      <w:r>
        <w:rPr>
          <w:rFonts w:cs="Helvetica"/>
          <w:color w:val="333333"/>
        </w:rPr>
        <w:t xml:space="preserve">If necessary, the public will be notified by press release using the template provided below: </w:t>
      </w:r>
      <w:bookmarkStart w:id="1" w:name="_Toc409012617"/>
    </w:p>
    <w:p w:rsidR="00BA7B89" w:rsidRPr="00E70EFC" w:rsidRDefault="00BA7B89" w:rsidP="00BA7B89">
      <w:pPr>
        <w:rPr>
          <w:u w:val="single"/>
        </w:rPr>
      </w:pPr>
      <w:bookmarkStart w:id="2" w:name="_Toc409012619"/>
      <w:r>
        <w:rPr>
          <w:u w:val="single"/>
        </w:rPr>
        <w:t>Draft</w:t>
      </w:r>
      <w:r w:rsidRPr="00E70EFC">
        <w:rPr>
          <w:u w:val="single"/>
        </w:rPr>
        <w:t xml:space="preserve"> Recall Notice</w:t>
      </w:r>
      <w:bookmarkEnd w:id="2"/>
    </w:p>
    <w:p w:rsidR="00BA7B89" w:rsidRDefault="00BA7B89" w:rsidP="00BA7B89"/>
    <w:p w:rsidR="00BA7B89" w:rsidRPr="001E30A7" w:rsidRDefault="00BA7B89" w:rsidP="00BA7B89">
      <w:pPr>
        <w:rPr>
          <w:b/>
          <w:i/>
        </w:rPr>
      </w:pPr>
      <w:r w:rsidRPr="001E30A7">
        <w:rPr>
          <w:b/>
          <w:i/>
        </w:rPr>
        <w:t xml:space="preserve">[Company Name] Voluntarily Recalls [insert summary info] Representing [X quantity] </w:t>
      </w:r>
      <w:r w:rsidRPr="001E30A7">
        <w:rPr>
          <w:b/>
          <w:i/>
        </w:rPr>
        <w:br/>
        <w:t>[--No Other Products Affected--]</w:t>
      </w:r>
    </w:p>
    <w:p w:rsidR="00BA7B89" w:rsidRPr="00313FB7" w:rsidRDefault="00BA7B89" w:rsidP="00BA7B89">
      <w:pPr>
        <w:pStyle w:val="NormalWeb"/>
        <w:rPr>
          <w:rFonts w:ascii="Calibri" w:hAnsi="Calibri" w:cs="Helvetica"/>
          <w:color w:val="333333"/>
          <w:szCs w:val="22"/>
          <w:lang w:val="es-ES"/>
        </w:rPr>
      </w:pPr>
      <w:proofErr w:type="spellStart"/>
      <w:r w:rsidRPr="00313FB7">
        <w:rPr>
          <w:rStyle w:val="Strong"/>
          <w:rFonts w:ascii="Calibri" w:hAnsi="Calibri" w:cs="Helvetica"/>
          <w:color w:val="333333"/>
          <w:szCs w:val="22"/>
          <w:lang w:val="es-ES"/>
        </w:rPr>
        <w:t>Contact</w:t>
      </w:r>
      <w:proofErr w:type="spellEnd"/>
      <w:r w:rsidRPr="00313FB7">
        <w:rPr>
          <w:rFonts w:ascii="Calibri" w:hAnsi="Calibri" w:cs="Helvetica"/>
          <w:color w:val="333333"/>
          <w:szCs w:val="22"/>
          <w:lang w:val="es-ES"/>
        </w:rPr>
        <w:br/>
      </w:r>
      <w:proofErr w:type="spellStart"/>
      <w:r w:rsidRPr="00313FB7">
        <w:rPr>
          <w:rFonts w:ascii="Calibri" w:hAnsi="Calibri" w:cs="Helvetica"/>
          <w:color w:val="333333"/>
          <w:szCs w:val="22"/>
          <w:lang w:val="es-ES"/>
        </w:rPr>
        <w:t>Consumer</w:t>
      </w:r>
      <w:proofErr w:type="spellEnd"/>
      <w:r w:rsidRPr="00313FB7">
        <w:rPr>
          <w:rFonts w:ascii="Calibri" w:hAnsi="Calibri" w:cs="Helvetica"/>
          <w:color w:val="333333"/>
          <w:szCs w:val="22"/>
          <w:lang w:val="es-ES"/>
        </w:rPr>
        <w:t>:</w:t>
      </w:r>
      <w:r w:rsidRPr="00313FB7">
        <w:rPr>
          <w:rFonts w:ascii="Calibri" w:hAnsi="Calibri" w:cs="Helvetica"/>
          <w:color w:val="333333"/>
          <w:szCs w:val="22"/>
          <w:lang w:val="es-ES"/>
        </w:rPr>
        <w:br/>
        <w:t>1-xxx-xxx-xxx</w:t>
      </w:r>
      <w:r w:rsidRPr="00313FB7">
        <w:rPr>
          <w:rFonts w:ascii="Calibri" w:hAnsi="Calibri" w:cs="Helvetica"/>
          <w:color w:val="333333"/>
          <w:szCs w:val="22"/>
          <w:lang w:val="es-ES"/>
        </w:rPr>
        <w:br/>
      </w:r>
      <w:r w:rsidRPr="00313FB7">
        <w:rPr>
          <w:rFonts w:ascii="Calibri" w:hAnsi="Calibri" w:cs="Helvetica"/>
          <w:color w:val="333333"/>
          <w:szCs w:val="22"/>
          <w:lang w:val="es-ES"/>
        </w:rPr>
        <w:br/>
        <w:t xml:space="preserve">Media </w:t>
      </w:r>
      <w:proofErr w:type="spellStart"/>
      <w:r w:rsidRPr="00313FB7">
        <w:rPr>
          <w:rFonts w:ascii="Calibri" w:hAnsi="Calibri" w:cs="Helvetica"/>
          <w:color w:val="333333"/>
          <w:szCs w:val="22"/>
          <w:lang w:val="es-ES"/>
        </w:rPr>
        <w:t>Contact</w:t>
      </w:r>
      <w:proofErr w:type="spellEnd"/>
      <w:r w:rsidRPr="00313FB7">
        <w:rPr>
          <w:rFonts w:ascii="Calibri" w:hAnsi="Calibri" w:cs="Helvetica"/>
          <w:color w:val="333333"/>
          <w:szCs w:val="22"/>
          <w:lang w:val="es-ES"/>
        </w:rPr>
        <w:t>:</w:t>
      </w:r>
      <w:r w:rsidRPr="00313FB7">
        <w:rPr>
          <w:rFonts w:ascii="Calibri" w:hAnsi="Calibri" w:cs="Helvetica"/>
          <w:color w:val="333333"/>
          <w:szCs w:val="22"/>
          <w:lang w:val="es-ES"/>
        </w:rPr>
        <w:br/>
        <w:t>xxx-xxx-</w:t>
      </w:r>
      <w:proofErr w:type="spellStart"/>
      <w:r w:rsidRPr="00313FB7">
        <w:rPr>
          <w:rFonts w:ascii="Calibri" w:hAnsi="Calibri" w:cs="Helvetica"/>
          <w:color w:val="333333"/>
          <w:szCs w:val="22"/>
          <w:lang w:val="es-ES"/>
        </w:rPr>
        <w:t>xxxx</w:t>
      </w:r>
      <w:proofErr w:type="spellEnd"/>
    </w:p>
    <w:p w:rsidR="00BA7B89" w:rsidRPr="00B5707D" w:rsidRDefault="00BA7B89" w:rsidP="00BA7B89">
      <w:pPr>
        <w:pStyle w:val="NormalWeb"/>
        <w:rPr>
          <w:rFonts w:ascii="Calibri" w:hAnsi="Calibri" w:cs="Helvetica"/>
          <w:color w:val="333333"/>
          <w:szCs w:val="22"/>
        </w:rPr>
      </w:pPr>
      <w:r w:rsidRPr="00B5707D">
        <w:rPr>
          <w:rStyle w:val="Strong"/>
          <w:rFonts w:ascii="Calibri" w:hAnsi="Calibri" w:cs="Helvetica"/>
          <w:color w:val="333333"/>
          <w:szCs w:val="22"/>
        </w:rPr>
        <w:t>FOR IMMEDIATE RELEASE</w:t>
      </w:r>
      <w:r w:rsidRPr="00B5707D">
        <w:rPr>
          <w:rFonts w:ascii="Calibri" w:hAnsi="Calibri" w:cs="Helvetica"/>
          <w:color w:val="333333"/>
          <w:szCs w:val="22"/>
        </w:rPr>
        <w:t xml:space="preserve"> – [date] – [Company name] is voluntarily recalling [X] Lot Codes of [COMPANY/BRAND name] [insert specific product name and description], representing [insert quantity]. [Insert reason for recall].</w:t>
      </w:r>
    </w:p>
    <w:p w:rsidR="00BA7B89" w:rsidRPr="00B5707D" w:rsidRDefault="00BA7B89" w:rsidP="00BA7B89">
      <w:pPr>
        <w:pStyle w:val="NormalWeb"/>
        <w:rPr>
          <w:rStyle w:val="Strong"/>
          <w:rFonts w:ascii="Calibri" w:hAnsi="Calibri" w:cs="Helvetica"/>
          <w:color w:val="333333"/>
          <w:szCs w:val="22"/>
        </w:rPr>
      </w:pPr>
      <w:r w:rsidRPr="00B5707D">
        <w:rPr>
          <w:rStyle w:val="Strong"/>
          <w:rFonts w:ascii="Calibri" w:hAnsi="Calibri" w:cs="Helvetica"/>
          <w:color w:val="333333"/>
          <w:szCs w:val="22"/>
        </w:rPr>
        <w:lastRenderedPageBreak/>
        <w:t xml:space="preserve">This action relates only to </w:t>
      </w:r>
      <w:r>
        <w:rPr>
          <w:rStyle w:val="Strong"/>
          <w:rFonts w:ascii="Calibri" w:hAnsi="Calibri" w:cs="Helvetica"/>
          <w:color w:val="333333"/>
          <w:szCs w:val="22"/>
        </w:rPr>
        <w:t>[</w:t>
      </w:r>
      <w:r w:rsidRPr="00B5707D">
        <w:rPr>
          <w:rStyle w:val="Strong"/>
          <w:rFonts w:ascii="Calibri" w:hAnsi="Calibri" w:cs="Helvetica"/>
          <w:color w:val="333333"/>
          <w:szCs w:val="22"/>
        </w:rPr>
        <w:t>COMPANY</w:t>
      </w:r>
      <w:r>
        <w:rPr>
          <w:rStyle w:val="Strong"/>
          <w:rFonts w:ascii="Calibri" w:hAnsi="Calibri" w:cs="Helvetica"/>
          <w:color w:val="333333"/>
          <w:szCs w:val="22"/>
        </w:rPr>
        <w:t xml:space="preserve"> NAME]</w:t>
      </w:r>
      <w:r w:rsidRPr="00B5707D">
        <w:rPr>
          <w:rStyle w:val="Strong"/>
          <w:rFonts w:ascii="Calibri" w:hAnsi="Calibri" w:cs="Helvetica"/>
          <w:color w:val="333333"/>
          <w:szCs w:val="22"/>
        </w:rPr>
        <w:t xml:space="preserve"> products with any of these Lot Codes printed on the package:</w:t>
      </w:r>
    </w:p>
    <w:p w:rsidR="00BA7B89" w:rsidRPr="00B5707D" w:rsidRDefault="00BA7B89" w:rsidP="00BA7B89">
      <w:pPr>
        <w:pStyle w:val="NormalWeb"/>
        <w:numPr>
          <w:ilvl w:val="0"/>
          <w:numId w:val="4"/>
        </w:numPr>
        <w:rPr>
          <w:rFonts w:ascii="Calibri" w:hAnsi="Calibri" w:cs="Helvetica"/>
          <w:b/>
          <w:bCs/>
          <w:color w:val="333333"/>
          <w:szCs w:val="22"/>
        </w:rPr>
      </w:pPr>
      <w:r w:rsidRPr="00B5707D">
        <w:rPr>
          <w:rStyle w:val="Strong"/>
          <w:rFonts w:ascii="Calibri" w:hAnsi="Calibri" w:cs="Helvetica"/>
          <w:color w:val="333333"/>
          <w:szCs w:val="22"/>
        </w:rPr>
        <w:t>[insert lot codes]</w:t>
      </w:r>
    </w:p>
    <w:p w:rsidR="00BA7B89" w:rsidRPr="00C94574" w:rsidRDefault="00BA7B89" w:rsidP="00BA7B89">
      <w:pPr>
        <w:pStyle w:val="NormalWeb"/>
        <w:rPr>
          <w:rFonts w:ascii="Calibri" w:hAnsi="Calibri" w:cs="Helvetica"/>
          <w:color w:val="333333"/>
          <w:szCs w:val="22"/>
        </w:rPr>
      </w:pPr>
      <w:r w:rsidRPr="00C94574">
        <w:rPr>
          <w:rStyle w:val="Strong"/>
          <w:rFonts w:ascii="Calibri" w:hAnsi="Calibri" w:cs="Helvetica"/>
          <w:color w:val="333333"/>
          <w:szCs w:val="22"/>
        </w:rPr>
        <w:t xml:space="preserve">No other Lot Codes, or any other </w:t>
      </w:r>
      <w:r>
        <w:rPr>
          <w:rStyle w:val="Strong"/>
          <w:rFonts w:ascii="Calibri" w:hAnsi="Calibri" w:cs="Helvetica"/>
          <w:color w:val="333333"/>
          <w:szCs w:val="22"/>
        </w:rPr>
        <w:t>[</w:t>
      </w:r>
      <w:r w:rsidRPr="00C94574">
        <w:rPr>
          <w:rStyle w:val="Strong"/>
          <w:rFonts w:ascii="Calibri" w:hAnsi="Calibri" w:cs="Helvetica"/>
          <w:color w:val="333333"/>
          <w:szCs w:val="22"/>
        </w:rPr>
        <w:t>COMPANY</w:t>
      </w:r>
      <w:r>
        <w:rPr>
          <w:rStyle w:val="Strong"/>
          <w:rFonts w:ascii="Calibri" w:hAnsi="Calibri" w:cs="Helvetica"/>
          <w:color w:val="333333"/>
          <w:szCs w:val="22"/>
        </w:rPr>
        <w:t xml:space="preserve"> NAME]</w:t>
      </w:r>
      <w:r w:rsidRPr="00C94574">
        <w:rPr>
          <w:rStyle w:val="Strong"/>
          <w:rFonts w:ascii="Calibri" w:hAnsi="Calibri" w:cs="Helvetica"/>
          <w:color w:val="333333"/>
          <w:szCs w:val="22"/>
        </w:rPr>
        <w:t xml:space="preserve"> products, are involved in this action.</w:t>
      </w:r>
    </w:p>
    <w:p w:rsidR="00BA7B89" w:rsidRPr="00C94574" w:rsidRDefault="00BA7B89" w:rsidP="00BA7B89">
      <w:pPr>
        <w:rPr>
          <w:rFonts w:ascii="Calibri" w:hAnsi="Calibri"/>
        </w:rPr>
      </w:pPr>
      <w:r w:rsidRPr="00C94574">
        <w:rPr>
          <w:rFonts w:ascii="Calibri" w:hAnsi="Calibri" w:cs="Helvetica"/>
          <w:color w:val="333333"/>
        </w:rPr>
        <w:t xml:space="preserve">Only these specific lot codes are impacted. </w:t>
      </w:r>
      <w:r>
        <w:rPr>
          <w:rFonts w:ascii="Calibri" w:hAnsi="Calibri"/>
        </w:rPr>
        <w:t>Customers are asked to remove all product with codes listed below out of distribution immediately. Customers may call the number listed or visit our website for instructions on what to do with the product.</w:t>
      </w:r>
    </w:p>
    <w:tbl>
      <w:tblPr>
        <w:tblW w:w="5000" w:type="pct"/>
        <w:tblCellMar>
          <w:top w:w="15" w:type="dxa"/>
          <w:left w:w="15" w:type="dxa"/>
          <w:bottom w:w="15" w:type="dxa"/>
          <w:right w:w="15" w:type="dxa"/>
        </w:tblCellMar>
        <w:tblLook w:val="04A0" w:firstRow="1" w:lastRow="0" w:firstColumn="1" w:lastColumn="0" w:noHBand="0" w:noVBand="1"/>
      </w:tblPr>
      <w:tblGrid>
        <w:gridCol w:w="4384"/>
        <w:gridCol w:w="2550"/>
        <w:gridCol w:w="2426"/>
      </w:tblGrid>
      <w:tr w:rsidR="00BA7B89" w:rsidRPr="00220628" w:rsidTr="00FC137B">
        <w:trPr>
          <w:tblHeader/>
        </w:trPr>
        <w:tc>
          <w:tcPr>
            <w:tcW w:w="0" w:type="auto"/>
            <w:shd w:val="clear" w:color="auto" w:fill="auto"/>
            <w:vAlign w:val="center"/>
            <w:hideMark/>
          </w:tcPr>
          <w:p w:rsidR="00BA7B89" w:rsidRPr="00C94574" w:rsidRDefault="00BA7B89" w:rsidP="00FC137B">
            <w:pPr>
              <w:spacing w:before="285" w:after="285"/>
              <w:rPr>
                <w:rFonts w:ascii="Calibri" w:hAnsi="Calibri" w:cs="Helvetica"/>
                <w:b/>
                <w:bCs/>
                <w:color w:val="333333"/>
              </w:rPr>
            </w:pPr>
            <w:r w:rsidRPr="00C94574">
              <w:rPr>
                <w:rFonts w:ascii="Calibri" w:hAnsi="Calibri" w:cs="Helvetica"/>
                <w:b/>
                <w:bCs/>
                <w:color w:val="333333"/>
              </w:rPr>
              <w:t>PRODUCT</w:t>
            </w:r>
          </w:p>
        </w:tc>
        <w:tc>
          <w:tcPr>
            <w:tcW w:w="0" w:type="auto"/>
            <w:shd w:val="clear" w:color="auto" w:fill="auto"/>
            <w:vAlign w:val="center"/>
            <w:hideMark/>
          </w:tcPr>
          <w:p w:rsidR="00BA7B89" w:rsidRPr="00C94574" w:rsidRDefault="00BA7B89" w:rsidP="00FC137B">
            <w:pPr>
              <w:spacing w:before="285" w:after="285"/>
              <w:rPr>
                <w:rFonts w:ascii="Calibri" w:hAnsi="Calibri" w:cs="Helvetica"/>
                <w:b/>
                <w:bCs/>
                <w:color w:val="333333"/>
              </w:rPr>
            </w:pPr>
            <w:r w:rsidRPr="00C94574">
              <w:rPr>
                <w:rFonts w:ascii="Calibri" w:hAnsi="Calibri" w:cs="Helvetica"/>
                <w:b/>
                <w:bCs/>
                <w:color w:val="333333"/>
              </w:rPr>
              <w:t>LOT CODE</w:t>
            </w:r>
          </w:p>
        </w:tc>
        <w:tc>
          <w:tcPr>
            <w:tcW w:w="0" w:type="auto"/>
            <w:shd w:val="clear" w:color="auto" w:fill="auto"/>
            <w:vAlign w:val="center"/>
            <w:hideMark/>
          </w:tcPr>
          <w:p w:rsidR="00BA7B89" w:rsidRPr="00C94574" w:rsidRDefault="00BA7B89" w:rsidP="00FC137B">
            <w:pPr>
              <w:spacing w:before="285" w:after="285"/>
              <w:rPr>
                <w:rFonts w:ascii="Calibri" w:hAnsi="Calibri" w:cs="Helvetica"/>
                <w:b/>
                <w:bCs/>
                <w:color w:val="333333"/>
              </w:rPr>
            </w:pPr>
            <w:r w:rsidRPr="00C94574">
              <w:rPr>
                <w:rFonts w:ascii="Calibri" w:hAnsi="Calibri" w:cs="Helvetica"/>
                <w:b/>
                <w:bCs/>
                <w:color w:val="333333"/>
              </w:rPr>
              <w:t>ITEM NO.</w:t>
            </w:r>
          </w:p>
        </w:tc>
      </w:tr>
      <w:tr w:rsidR="00BA7B89" w:rsidRPr="009B4B90" w:rsidTr="00FC137B">
        <w:tc>
          <w:tcPr>
            <w:tcW w:w="0" w:type="auto"/>
            <w:shd w:val="clear" w:color="auto" w:fill="auto"/>
            <w:vAlign w:val="center"/>
            <w:hideMark/>
          </w:tcPr>
          <w:p w:rsidR="00BA7B89" w:rsidRPr="009B4B90" w:rsidRDefault="00BA7B89" w:rsidP="00FC137B">
            <w:pPr>
              <w:spacing w:before="285" w:after="285"/>
              <w:rPr>
                <w:rFonts w:ascii="Calibri" w:hAnsi="Calibri" w:cs="Helvetica"/>
                <w:color w:val="333333"/>
              </w:rPr>
            </w:pPr>
            <w:r w:rsidRPr="009B4B90">
              <w:rPr>
                <w:rFonts w:ascii="Calibri" w:hAnsi="Calibri" w:cs="Helvetica"/>
                <w:color w:val="333333"/>
              </w:rPr>
              <w:t>[Company Name] [insert product name(s)]</w:t>
            </w:r>
          </w:p>
        </w:tc>
        <w:tc>
          <w:tcPr>
            <w:tcW w:w="0" w:type="auto"/>
            <w:shd w:val="clear" w:color="auto" w:fill="auto"/>
            <w:vAlign w:val="center"/>
            <w:hideMark/>
          </w:tcPr>
          <w:p w:rsidR="00BA7B89" w:rsidRPr="009B4B90" w:rsidRDefault="00BA7B89" w:rsidP="00FC137B">
            <w:pPr>
              <w:spacing w:before="285" w:after="285"/>
              <w:rPr>
                <w:rFonts w:ascii="Calibri" w:hAnsi="Calibri" w:cs="Helvetica"/>
                <w:color w:val="333333"/>
              </w:rPr>
            </w:pPr>
            <w:r w:rsidRPr="009B4B90">
              <w:rPr>
                <w:rFonts w:ascii="Calibri" w:hAnsi="Calibri" w:cs="Helvetica"/>
                <w:color w:val="333333"/>
              </w:rPr>
              <w:t>[insert product codes(s)]</w:t>
            </w:r>
          </w:p>
        </w:tc>
        <w:tc>
          <w:tcPr>
            <w:tcW w:w="0" w:type="auto"/>
            <w:shd w:val="clear" w:color="auto" w:fill="auto"/>
            <w:vAlign w:val="center"/>
            <w:hideMark/>
          </w:tcPr>
          <w:p w:rsidR="00BA7B89" w:rsidRPr="009B4B90" w:rsidRDefault="00BA7B89" w:rsidP="00FC137B">
            <w:pPr>
              <w:spacing w:before="285" w:after="285"/>
              <w:rPr>
                <w:rFonts w:ascii="Calibri" w:hAnsi="Calibri" w:cs="Helvetica"/>
                <w:color w:val="333333"/>
              </w:rPr>
            </w:pPr>
            <w:r w:rsidRPr="009B4B90">
              <w:rPr>
                <w:rFonts w:ascii="Calibri" w:hAnsi="Calibri" w:cs="Helvetica"/>
                <w:color w:val="333333"/>
              </w:rPr>
              <w:t>[insert item number(s)]</w:t>
            </w:r>
          </w:p>
        </w:tc>
      </w:tr>
    </w:tbl>
    <w:p w:rsidR="00BA7B89" w:rsidRDefault="00BA7B89" w:rsidP="00BA7B89">
      <w:pPr>
        <w:rPr>
          <w:rFonts w:ascii="Calibri" w:hAnsi="Calibri"/>
        </w:rPr>
      </w:pPr>
      <w:r w:rsidRPr="009B4B90">
        <w:rPr>
          <w:rFonts w:ascii="Calibri" w:hAnsi="Calibri"/>
        </w:rPr>
        <w:t>[Company Name] is conducting this voluntary recall because [insert product name(s)] [modify as necessary</w:t>
      </w:r>
      <w:r>
        <w:rPr>
          <w:rFonts w:ascii="Calibri" w:hAnsi="Calibri"/>
        </w:rPr>
        <w:t>.</w:t>
      </w:r>
      <w:r w:rsidRPr="009B4B90">
        <w:rPr>
          <w:rFonts w:ascii="Calibri" w:hAnsi="Calibri"/>
        </w:rPr>
        <w:t xml:space="preserve">  We have not received any reports of illness associated with this product, but we are voluntarily recalling this product out of an abundance of caution.]</w:t>
      </w:r>
    </w:p>
    <w:p w:rsidR="00BA7B89" w:rsidRPr="00406484" w:rsidRDefault="00BA7B89" w:rsidP="00BA7B89">
      <w:pPr>
        <w:pStyle w:val="NormalWeb"/>
        <w:rPr>
          <w:rFonts w:ascii="Calibri" w:hAnsi="Calibri" w:cs="Helvetica"/>
          <w:color w:val="333333"/>
          <w:szCs w:val="22"/>
        </w:rPr>
      </w:pPr>
      <w:r w:rsidRPr="00C94574">
        <w:rPr>
          <w:rFonts w:ascii="Calibri" w:hAnsi="Calibri" w:cs="Helvetica"/>
          <w:color w:val="333333"/>
          <w:szCs w:val="22"/>
        </w:rPr>
        <w:t>For more information or assistance, please contact us at 1-</w:t>
      </w:r>
      <w:r>
        <w:rPr>
          <w:rFonts w:ascii="Calibri" w:hAnsi="Calibri" w:cs="Helvetica"/>
          <w:color w:val="333333"/>
          <w:szCs w:val="22"/>
        </w:rPr>
        <w:t>xxx-xxx-xxxx</w:t>
      </w:r>
      <w:r w:rsidRPr="00C94574">
        <w:rPr>
          <w:rFonts w:ascii="Calibri" w:hAnsi="Calibri" w:cs="Helvetica"/>
          <w:color w:val="333333"/>
          <w:szCs w:val="22"/>
        </w:rPr>
        <w:t xml:space="preserve"> (Monday to Friday, 9:30 a.m. to 5 p.m. EST) or via our website at </w:t>
      </w:r>
      <w:hyperlink r:id="rId5" w:history="1">
        <w:r w:rsidRPr="00EB524C">
          <w:rPr>
            <w:rStyle w:val="Hyperlink"/>
            <w:rFonts w:ascii="Calibri" w:eastAsiaTheme="majorEastAsia" w:hAnsi="Calibri" w:cs="Helvetica"/>
            <w:szCs w:val="22"/>
          </w:rPr>
          <w:t>www.xxx.com</w:t>
        </w:r>
      </w:hyperlink>
      <w:r>
        <w:rPr>
          <w:u w:val="single"/>
        </w:rPr>
        <w:br w:type="page"/>
      </w:r>
    </w:p>
    <w:bookmarkEnd w:id="1"/>
    <w:p w:rsidR="00BA7B89" w:rsidRPr="00253E49" w:rsidRDefault="00BA7B89" w:rsidP="00BA7B89">
      <w:pPr>
        <w:pStyle w:val="Heading3"/>
        <w:jc w:val="left"/>
      </w:pPr>
      <w:r>
        <w:lastRenderedPageBreak/>
        <w:t>3. Effectiveness Checks</w:t>
      </w:r>
    </w:p>
    <w:p w:rsidR="00BA7B89" w:rsidRDefault="00BA7B89" w:rsidP="00BA7B89">
      <w:pPr>
        <w:contextualSpacing/>
        <w:jc w:val="both"/>
        <w:rPr>
          <w:rFonts w:cstheme="minorHAnsi"/>
          <w:szCs w:val="24"/>
          <w:u w:val="single"/>
        </w:rPr>
      </w:pPr>
    </w:p>
    <w:p w:rsidR="00BA7B89" w:rsidRPr="00597027" w:rsidRDefault="00BA7B89" w:rsidP="00BA7B89">
      <w:pPr>
        <w:contextualSpacing/>
        <w:jc w:val="both"/>
        <w:rPr>
          <w:rFonts w:cstheme="minorHAnsi"/>
          <w:szCs w:val="24"/>
          <w:u w:val="single"/>
        </w:rPr>
      </w:pPr>
      <w:r w:rsidRPr="00597027">
        <w:rPr>
          <w:rFonts w:cstheme="minorHAnsi"/>
          <w:szCs w:val="24"/>
          <w:u w:val="single"/>
        </w:rPr>
        <w:t>Effectiveness of the Recall</w:t>
      </w:r>
      <w:r>
        <w:rPr>
          <w:rFonts w:cstheme="minorHAnsi"/>
          <w:szCs w:val="24"/>
          <w:u w:val="single"/>
        </w:rPr>
        <w:t xml:space="preserve"> - Determined by Recall Coordinator</w:t>
      </w:r>
    </w:p>
    <w:p w:rsidR="00BA7B89" w:rsidRPr="00597027" w:rsidRDefault="00BA7B89" w:rsidP="00BA7B89">
      <w:pPr>
        <w:contextualSpacing/>
        <w:jc w:val="both"/>
        <w:rPr>
          <w:rFonts w:cstheme="minorHAnsi"/>
          <w:szCs w:val="24"/>
        </w:rPr>
      </w:pPr>
      <w:r w:rsidRPr="00597027">
        <w:rPr>
          <w:rFonts w:cstheme="minorHAnsi"/>
          <w:szCs w:val="24"/>
        </w:rPr>
        <w:t xml:space="preserve">To be effective, the product recall notification must reach as far as the product has been distributed.  The effectiveness of the product recall is assessed on the basis of the amount of product </w:t>
      </w:r>
      <w:r>
        <w:rPr>
          <w:rFonts w:cstheme="minorHAnsi"/>
          <w:szCs w:val="24"/>
        </w:rPr>
        <w:t>controlled or returned to CGB Enterprises, and may be extended to include live animals or products from animals that consumed the recalled feed</w:t>
      </w:r>
      <w:r w:rsidRPr="00597027">
        <w:rPr>
          <w:rFonts w:cstheme="minorHAnsi"/>
          <w:szCs w:val="24"/>
        </w:rPr>
        <w:t>.</w:t>
      </w:r>
    </w:p>
    <w:p w:rsidR="00BA7B89" w:rsidRDefault="00BA7B89" w:rsidP="00BA7B89">
      <w:pPr>
        <w:jc w:val="both"/>
        <w:rPr>
          <w:u w:val="single"/>
        </w:rPr>
      </w:pPr>
    </w:p>
    <w:p w:rsidR="00BA7B89" w:rsidRDefault="00BA7B89" w:rsidP="00BA7B89">
      <w:r w:rsidRPr="00007CD4">
        <w:rPr>
          <w:b/>
        </w:rPr>
        <w:t>Effectiveness checks by account</w:t>
      </w:r>
      <w:r>
        <w:t xml:space="preserve"> – Consider filling in the Consignee’s recall contact name and information to make it easier to contact them in the event of a recall.</w:t>
      </w:r>
    </w:p>
    <w:tbl>
      <w:tblPr>
        <w:tblStyle w:val="TableGrid"/>
        <w:tblW w:w="9805" w:type="dxa"/>
        <w:tblLayout w:type="fixed"/>
        <w:tblLook w:val="04A0" w:firstRow="1" w:lastRow="0" w:firstColumn="1" w:lastColumn="0" w:noHBand="0" w:noVBand="1"/>
      </w:tblPr>
      <w:tblGrid>
        <w:gridCol w:w="1278"/>
        <w:gridCol w:w="810"/>
        <w:gridCol w:w="990"/>
        <w:gridCol w:w="1260"/>
        <w:gridCol w:w="810"/>
        <w:gridCol w:w="810"/>
        <w:gridCol w:w="630"/>
        <w:gridCol w:w="810"/>
        <w:gridCol w:w="1147"/>
        <w:gridCol w:w="1260"/>
      </w:tblGrid>
      <w:tr w:rsidR="00BA7B89" w:rsidTr="00FC137B">
        <w:trPr>
          <w:trHeight w:val="233"/>
        </w:trPr>
        <w:tc>
          <w:tcPr>
            <w:tcW w:w="1278" w:type="dxa"/>
            <w:vMerge w:val="restart"/>
          </w:tcPr>
          <w:p w:rsidR="00BA7B89" w:rsidRDefault="00BA7B89" w:rsidP="00FC137B">
            <w:r>
              <w:t>Consignee</w:t>
            </w:r>
          </w:p>
        </w:tc>
        <w:tc>
          <w:tcPr>
            <w:tcW w:w="1800" w:type="dxa"/>
            <w:gridSpan w:val="2"/>
          </w:tcPr>
          <w:p w:rsidR="00BA7B89" w:rsidRDefault="00BA7B89" w:rsidP="00FC137B">
            <w:r>
              <w:t xml:space="preserve">Recall contact </w:t>
            </w:r>
          </w:p>
        </w:tc>
        <w:tc>
          <w:tcPr>
            <w:tcW w:w="1260" w:type="dxa"/>
            <w:vMerge w:val="restart"/>
          </w:tcPr>
          <w:p w:rsidR="00BA7B89" w:rsidRDefault="00BA7B89" w:rsidP="00FC137B">
            <w:r>
              <w:t>Date contacted</w:t>
            </w:r>
          </w:p>
        </w:tc>
        <w:tc>
          <w:tcPr>
            <w:tcW w:w="3060" w:type="dxa"/>
            <w:gridSpan w:val="4"/>
          </w:tcPr>
          <w:p w:rsidR="00BA7B89" w:rsidRDefault="00BA7B89" w:rsidP="00FC137B">
            <w:r>
              <w:t>Method of contact</w:t>
            </w:r>
          </w:p>
        </w:tc>
        <w:tc>
          <w:tcPr>
            <w:tcW w:w="1147" w:type="dxa"/>
            <w:vMerge w:val="restart"/>
          </w:tcPr>
          <w:p w:rsidR="00BA7B89" w:rsidRDefault="00BA7B89" w:rsidP="00FC137B">
            <w:r>
              <w:t>Date if response</w:t>
            </w:r>
          </w:p>
        </w:tc>
        <w:tc>
          <w:tcPr>
            <w:tcW w:w="1260" w:type="dxa"/>
            <w:vMerge w:val="restart"/>
          </w:tcPr>
          <w:p w:rsidR="00BA7B89" w:rsidRDefault="00BA7B89" w:rsidP="00FC137B">
            <w:r>
              <w:t>Quantity of returned or controlled</w:t>
            </w:r>
          </w:p>
        </w:tc>
      </w:tr>
      <w:tr w:rsidR="00BA7B89" w:rsidTr="00FC137B">
        <w:trPr>
          <w:trHeight w:val="668"/>
        </w:trPr>
        <w:tc>
          <w:tcPr>
            <w:tcW w:w="1278" w:type="dxa"/>
            <w:vMerge/>
          </w:tcPr>
          <w:p w:rsidR="00BA7B89" w:rsidRDefault="00BA7B89" w:rsidP="00FC137B"/>
        </w:tc>
        <w:tc>
          <w:tcPr>
            <w:tcW w:w="810" w:type="dxa"/>
          </w:tcPr>
          <w:p w:rsidR="00BA7B89" w:rsidRDefault="00BA7B89" w:rsidP="00FC137B">
            <w:r>
              <w:t>Name</w:t>
            </w:r>
          </w:p>
        </w:tc>
        <w:tc>
          <w:tcPr>
            <w:tcW w:w="990" w:type="dxa"/>
          </w:tcPr>
          <w:p w:rsidR="00BA7B89" w:rsidRDefault="00BA7B89" w:rsidP="00FC137B">
            <w:r>
              <w:t>Contact info</w:t>
            </w:r>
          </w:p>
        </w:tc>
        <w:tc>
          <w:tcPr>
            <w:tcW w:w="1260" w:type="dxa"/>
            <w:vMerge/>
          </w:tcPr>
          <w:p w:rsidR="00BA7B89" w:rsidRDefault="00BA7B89" w:rsidP="00FC137B"/>
        </w:tc>
        <w:tc>
          <w:tcPr>
            <w:tcW w:w="810" w:type="dxa"/>
          </w:tcPr>
          <w:p w:rsidR="00BA7B89" w:rsidRPr="0011395C" w:rsidRDefault="00BA7B89" w:rsidP="00FC137B">
            <w:pPr>
              <w:rPr>
                <w:sz w:val="18"/>
              </w:rPr>
            </w:pPr>
            <w:r w:rsidRPr="0011395C">
              <w:rPr>
                <w:sz w:val="18"/>
              </w:rPr>
              <w:t>Phone</w:t>
            </w:r>
          </w:p>
        </w:tc>
        <w:tc>
          <w:tcPr>
            <w:tcW w:w="810" w:type="dxa"/>
          </w:tcPr>
          <w:p w:rsidR="00BA7B89" w:rsidRPr="0011395C" w:rsidRDefault="00BA7B89" w:rsidP="00FC137B">
            <w:pPr>
              <w:rPr>
                <w:sz w:val="20"/>
              </w:rPr>
            </w:pPr>
            <w:r w:rsidRPr="0011395C">
              <w:rPr>
                <w:sz w:val="20"/>
              </w:rPr>
              <w:t>Email</w:t>
            </w:r>
          </w:p>
        </w:tc>
        <w:tc>
          <w:tcPr>
            <w:tcW w:w="630" w:type="dxa"/>
          </w:tcPr>
          <w:p w:rsidR="00BA7B89" w:rsidRPr="0011395C" w:rsidRDefault="00BA7B89" w:rsidP="00FC137B">
            <w:pPr>
              <w:rPr>
                <w:sz w:val="20"/>
              </w:rPr>
            </w:pPr>
            <w:r w:rsidRPr="0011395C">
              <w:rPr>
                <w:sz w:val="20"/>
              </w:rPr>
              <w:t>Fax</w:t>
            </w:r>
          </w:p>
        </w:tc>
        <w:tc>
          <w:tcPr>
            <w:tcW w:w="810" w:type="dxa"/>
          </w:tcPr>
          <w:p w:rsidR="00BA7B89" w:rsidRPr="0011395C" w:rsidRDefault="00BA7B89" w:rsidP="00FC137B">
            <w:pPr>
              <w:rPr>
                <w:sz w:val="20"/>
              </w:rPr>
            </w:pPr>
            <w:r w:rsidRPr="0011395C">
              <w:rPr>
                <w:sz w:val="20"/>
              </w:rPr>
              <w:t>Letter</w:t>
            </w:r>
          </w:p>
        </w:tc>
        <w:tc>
          <w:tcPr>
            <w:tcW w:w="1147" w:type="dxa"/>
            <w:vMerge/>
          </w:tcPr>
          <w:p w:rsidR="00BA7B89" w:rsidRDefault="00BA7B89" w:rsidP="00FC137B"/>
        </w:tc>
        <w:tc>
          <w:tcPr>
            <w:tcW w:w="1260" w:type="dxa"/>
            <w:vMerge/>
          </w:tcPr>
          <w:p w:rsidR="00BA7B89" w:rsidRDefault="00BA7B89" w:rsidP="00FC137B"/>
        </w:tc>
      </w:tr>
      <w:tr w:rsidR="00BA7B89" w:rsidTr="00FC137B">
        <w:trPr>
          <w:trHeight w:val="341"/>
        </w:trPr>
        <w:tc>
          <w:tcPr>
            <w:tcW w:w="1278" w:type="dxa"/>
          </w:tcPr>
          <w:p w:rsidR="00BA7B89" w:rsidRDefault="00BA7B89" w:rsidP="00FC137B"/>
        </w:tc>
        <w:tc>
          <w:tcPr>
            <w:tcW w:w="810" w:type="dxa"/>
          </w:tcPr>
          <w:p w:rsidR="00BA7B89" w:rsidRDefault="00BA7B89" w:rsidP="00FC137B"/>
        </w:tc>
        <w:tc>
          <w:tcPr>
            <w:tcW w:w="990" w:type="dxa"/>
          </w:tcPr>
          <w:p w:rsidR="00BA7B89" w:rsidRDefault="00BA7B89" w:rsidP="00FC137B"/>
        </w:tc>
        <w:tc>
          <w:tcPr>
            <w:tcW w:w="1260" w:type="dxa"/>
          </w:tcPr>
          <w:p w:rsidR="00BA7B89" w:rsidRDefault="00BA7B89" w:rsidP="00FC137B"/>
        </w:tc>
        <w:tc>
          <w:tcPr>
            <w:tcW w:w="810" w:type="dxa"/>
          </w:tcPr>
          <w:p w:rsidR="00BA7B89" w:rsidRDefault="00BA7B89" w:rsidP="00FC137B"/>
        </w:tc>
        <w:tc>
          <w:tcPr>
            <w:tcW w:w="810" w:type="dxa"/>
          </w:tcPr>
          <w:p w:rsidR="00BA7B89" w:rsidRDefault="00BA7B89" w:rsidP="00FC137B"/>
        </w:tc>
        <w:tc>
          <w:tcPr>
            <w:tcW w:w="630" w:type="dxa"/>
          </w:tcPr>
          <w:p w:rsidR="00BA7B89" w:rsidRDefault="00BA7B89" w:rsidP="00FC137B"/>
        </w:tc>
        <w:tc>
          <w:tcPr>
            <w:tcW w:w="810" w:type="dxa"/>
          </w:tcPr>
          <w:p w:rsidR="00BA7B89" w:rsidRDefault="00BA7B89" w:rsidP="00FC137B"/>
        </w:tc>
        <w:tc>
          <w:tcPr>
            <w:tcW w:w="1147" w:type="dxa"/>
          </w:tcPr>
          <w:p w:rsidR="00BA7B89" w:rsidRDefault="00BA7B89" w:rsidP="00FC137B"/>
        </w:tc>
        <w:tc>
          <w:tcPr>
            <w:tcW w:w="1260" w:type="dxa"/>
          </w:tcPr>
          <w:p w:rsidR="00BA7B89" w:rsidRDefault="00BA7B89" w:rsidP="00FC137B"/>
        </w:tc>
      </w:tr>
      <w:tr w:rsidR="00BA7B89" w:rsidTr="00FC137B">
        <w:tc>
          <w:tcPr>
            <w:tcW w:w="1278" w:type="dxa"/>
          </w:tcPr>
          <w:p w:rsidR="00BA7B89" w:rsidRDefault="00BA7B89" w:rsidP="00FC137B"/>
        </w:tc>
        <w:tc>
          <w:tcPr>
            <w:tcW w:w="810" w:type="dxa"/>
          </w:tcPr>
          <w:p w:rsidR="00BA7B89" w:rsidRDefault="00BA7B89" w:rsidP="00FC137B"/>
        </w:tc>
        <w:tc>
          <w:tcPr>
            <w:tcW w:w="990" w:type="dxa"/>
          </w:tcPr>
          <w:p w:rsidR="00BA7B89" w:rsidRDefault="00BA7B89" w:rsidP="00FC137B"/>
        </w:tc>
        <w:tc>
          <w:tcPr>
            <w:tcW w:w="1260" w:type="dxa"/>
          </w:tcPr>
          <w:p w:rsidR="00BA7B89" w:rsidRDefault="00BA7B89" w:rsidP="00FC137B"/>
        </w:tc>
        <w:tc>
          <w:tcPr>
            <w:tcW w:w="810" w:type="dxa"/>
          </w:tcPr>
          <w:p w:rsidR="00BA7B89" w:rsidRDefault="00BA7B89" w:rsidP="00FC137B"/>
        </w:tc>
        <w:tc>
          <w:tcPr>
            <w:tcW w:w="810" w:type="dxa"/>
          </w:tcPr>
          <w:p w:rsidR="00BA7B89" w:rsidRDefault="00BA7B89" w:rsidP="00FC137B"/>
        </w:tc>
        <w:tc>
          <w:tcPr>
            <w:tcW w:w="630" w:type="dxa"/>
          </w:tcPr>
          <w:p w:rsidR="00BA7B89" w:rsidRDefault="00BA7B89" w:rsidP="00FC137B"/>
        </w:tc>
        <w:tc>
          <w:tcPr>
            <w:tcW w:w="810" w:type="dxa"/>
          </w:tcPr>
          <w:p w:rsidR="00BA7B89" w:rsidRDefault="00BA7B89" w:rsidP="00FC137B"/>
        </w:tc>
        <w:tc>
          <w:tcPr>
            <w:tcW w:w="1147" w:type="dxa"/>
          </w:tcPr>
          <w:p w:rsidR="00BA7B89" w:rsidRDefault="00BA7B89" w:rsidP="00FC137B"/>
        </w:tc>
        <w:tc>
          <w:tcPr>
            <w:tcW w:w="1260" w:type="dxa"/>
          </w:tcPr>
          <w:p w:rsidR="00BA7B89" w:rsidRDefault="00BA7B89" w:rsidP="00FC137B"/>
        </w:tc>
      </w:tr>
      <w:tr w:rsidR="00BA7B89" w:rsidTr="00FC137B">
        <w:tc>
          <w:tcPr>
            <w:tcW w:w="1278" w:type="dxa"/>
          </w:tcPr>
          <w:p w:rsidR="00BA7B89" w:rsidRDefault="00BA7B89" w:rsidP="00FC137B"/>
        </w:tc>
        <w:tc>
          <w:tcPr>
            <w:tcW w:w="810" w:type="dxa"/>
          </w:tcPr>
          <w:p w:rsidR="00BA7B89" w:rsidRDefault="00BA7B89" w:rsidP="00FC137B"/>
        </w:tc>
        <w:tc>
          <w:tcPr>
            <w:tcW w:w="990" w:type="dxa"/>
          </w:tcPr>
          <w:p w:rsidR="00BA7B89" w:rsidRDefault="00BA7B89" w:rsidP="00FC137B"/>
        </w:tc>
        <w:tc>
          <w:tcPr>
            <w:tcW w:w="1260" w:type="dxa"/>
          </w:tcPr>
          <w:p w:rsidR="00BA7B89" w:rsidRDefault="00BA7B89" w:rsidP="00FC137B"/>
        </w:tc>
        <w:tc>
          <w:tcPr>
            <w:tcW w:w="810" w:type="dxa"/>
          </w:tcPr>
          <w:p w:rsidR="00BA7B89" w:rsidRDefault="00BA7B89" w:rsidP="00FC137B"/>
        </w:tc>
        <w:tc>
          <w:tcPr>
            <w:tcW w:w="810" w:type="dxa"/>
          </w:tcPr>
          <w:p w:rsidR="00BA7B89" w:rsidRDefault="00BA7B89" w:rsidP="00FC137B"/>
        </w:tc>
        <w:tc>
          <w:tcPr>
            <w:tcW w:w="630" w:type="dxa"/>
          </w:tcPr>
          <w:p w:rsidR="00BA7B89" w:rsidRDefault="00BA7B89" w:rsidP="00FC137B"/>
        </w:tc>
        <w:tc>
          <w:tcPr>
            <w:tcW w:w="810" w:type="dxa"/>
          </w:tcPr>
          <w:p w:rsidR="00BA7B89" w:rsidRDefault="00BA7B89" w:rsidP="00FC137B"/>
        </w:tc>
        <w:tc>
          <w:tcPr>
            <w:tcW w:w="1147" w:type="dxa"/>
          </w:tcPr>
          <w:p w:rsidR="00BA7B89" w:rsidRDefault="00BA7B89" w:rsidP="00FC137B"/>
        </w:tc>
        <w:tc>
          <w:tcPr>
            <w:tcW w:w="1260" w:type="dxa"/>
          </w:tcPr>
          <w:p w:rsidR="00BA7B89" w:rsidRDefault="00BA7B89" w:rsidP="00FC137B"/>
        </w:tc>
      </w:tr>
    </w:tbl>
    <w:p w:rsidR="00BA7B89" w:rsidRDefault="00BA7B89" w:rsidP="00BA7B89"/>
    <w:p w:rsidR="00BA7B89" w:rsidRPr="00E70EFC" w:rsidRDefault="00BA7B89" w:rsidP="00BA7B89">
      <w:pPr>
        <w:rPr>
          <w:b/>
        </w:rPr>
      </w:pPr>
      <w:r w:rsidRPr="00EA398F">
        <w:rPr>
          <w:b/>
        </w:rPr>
        <w:t>Effectiveness check summary</w:t>
      </w:r>
      <w:r>
        <w:t xml:space="preserve"> – to be provided to FDA periodically</w:t>
      </w:r>
    </w:p>
    <w:tbl>
      <w:tblPr>
        <w:tblStyle w:val="TableGrid"/>
        <w:tblW w:w="0" w:type="auto"/>
        <w:tblLook w:val="04A0" w:firstRow="1" w:lastRow="0" w:firstColumn="1" w:lastColumn="0" w:noHBand="0" w:noVBand="1"/>
      </w:tblPr>
      <w:tblGrid>
        <w:gridCol w:w="1190"/>
        <w:gridCol w:w="1191"/>
        <w:gridCol w:w="1180"/>
        <w:gridCol w:w="1187"/>
        <w:gridCol w:w="1191"/>
        <w:gridCol w:w="1187"/>
        <w:gridCol w:w="1108"/>
        <w:gridCol w:w="1116"/>
      </w:tblGrid>
      <w:tr w:rsidR="00BA7B89" w:rsidTr="00FC137B">
        <w:tc>
          <w:tcPr>
            <w:tcW w:w="1288" w:type="dxa"/>
          </w:tcPr>
          <w:p w:rsidR="00BA7B89" w:rsidRPr="0011395C" w:rsidRDefault="00BA7B89" w:rsidP="00FC137B">
            <w:pPr>
              <w:rPr>
                <w:sz w:val="20"/>
              </w:rPr>
            </w:pPr>
            <w:r w:rsidRPr="0011395C">
              <w:rPr>
                <w:sz w:val="20"/>
              </w:rPr>
              <w:t>Date of notification</w:t>
            </w:r>
          </w:p>
        </w:tc>
        <w:tc>
          <w:tcPr>
            <w:tcW w:w="1287" w:type="dxa"/>
          </w:tcPr>
          <w:p w:rsidR="00BA7B89" w:rsidRPr="0011395C" w:rsidRDefault="00BA7B89" w:rsidP="00FC137B">
            <w:pPr>
              <w:rPr>
                <w:sz w:val="20"/>
              </w:rPr>
            </w:pPr>
            <w:r w:rsidRPr="0011395C">
              <w:rPr>
                <w:sz w:val="20"/>
              </w:rPr>
              <w:t>Method of notification</w:t>
            </w:r>
          </w:p>
        </w:tc>
        <w:tc>
          <w:tcPr>
            <w:tcW w:w="1337" w:type="dxa"/>
          </w:tcPr>
          <w:p w:rsidR="00BA7B89" w:rsidRPr="0011395C" w:rsidRDefault="00BA7B89" w:rsidP="00FC137B">
            <w:pPr>
              <w:rPr>
                <w:sz w:val="20"/>
              </w:rPr>
            </w:pPr>
            <w:r w:rsidRPr="0011395C">
              <w:rPr>
                <w:sz w:val="20"/>
              </w:rPr>
              <w:t>Number of consignees notified</w:t>
            </w:r>
          </w:p>
        </w:tc>
        <w:tc>
          <w:tcPr>
            <w:tcW w:w="1337" w:type="dxa"/>
          </w:tcPr>
          <w:p w:rsidR="00BA7B89" w:rsidRPr="0011395C" w:rsidRDefault="00BA7B89" w:rsidP="00FC137B">
            <w:pPr>
              <w:rPr>
                <w:sz w:val="20"/>
              </w:rPr>
            </w:pPr>
            <w:r w:rsidRPr="0011395C">
              <w:rPr>
                <w:sz w:val="20"/>
              </w:rPr>
              <w:t>Number of consignees responding</w:t>
            </w:r>
          </w:p>
        </w:tc>
        <w:tc>
          <w:tcPr>
            <w:tcW w:w="1287" w:type="dxa"/>
          </w:tcPr>
          <w:p w:rsidR="00BA7B89" w:rsidRPr="0011395C" w:rsidRDefault="00BA7B89" w:rsidP="00FC137B">
            <w:pPr>
              <w:rPr>
                <w:sz w:val="20"/>
              </w:rPr>
            </w:pPr>
            <w:r w:rsidRPr="0011395C">
              <w:rPr>
                <w:sz w:val="20"/>
              </w:rPr>
              <w:t>Quantity of product on hand when notification received</w:t>
            </w:r>
          </w:p>
        </w:tc>
        <w:tc>
          <w:tcPr>
            <w:tcW w:w="1337" w:type="dxa"/>
          </w:tcPr>
          <w:p w:rsidR="00BA7B89" w:rsidRPr="0011395C" w:rsidRDefault="00BA7B89" w:rsidP="00FC137B">
            <w:pPr>
              <w:rPr>
                <w:sz w:val="20"/>
              </w:rPr>
            </w:pPr>
            <w:r w:rsidRPr="0011395C">
              <w:rPr>
                <w:sz w:val="20"/>
              </w:rPr>
              <w:t>Number of consignees not responding</w:t>
            </w:r>
            <w:r>
              <w:rPr>
                <w:sz w:val="20"/>
              </w:rPr>
              <w:t xml:space="preserve"> and action taken</w:t>
            </w:r>
          </w:p>
        </w:tc>
        <w:tc>
          <w:tcPr>
            <w:tcW w:w="1258" w:type="dxa"/>
          </w:tcPr>
          <w:p w:rsidR="00BA7B89" w:rsidRPr="0011395C" w:rsidRDefault="00BA7B89" w:rsidP="00FC137B">
            <w:pPr>
              <w:rPr>
                <w:sz w:val="20"/>
              </w:rPr>
            </w:pPr>
            <w:r w:rsidRPr="0011395C">
              <w:rPr>
                <w:sz w:val="20"/>
              </w:rPr>
              <w:t>Quantity accounted for</w:t>
            </w:r>
          </w:p>
        </w:tc>
        <w:tc>
          <w:tcPr>
            <w:tcW w:w="445" w:type="dxa"/>
          </w:tcPr>
          <w:p w:rsidR="00BA7B89" w:rsidRPr="0011395C" w:rsidRDefault="00BA7B89" w:rsidP="00FC137B">
            <w:pPr>
              <w:rPr>
                <w:sz w:val="20"/>
              </w:rPr>
            </w:pPr>
            <w:r w:rsidRPr="0011395C">
              <w:rPr>
                <w:sz w:val="20"/>
              </w:rPr>
              <w:t>Estimated completion date</w:t>
            </w:r>
          </w:p>
        </w:tc>
      </w:tr>
      <w:tr w:rsidR="00BA7B89" w:rsidTr="00FC137B">
        <w:tc>
          <w:tcPr>
            <w:tcW w:w="1288"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337"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258" w:type="dxa"/>
          </w:tcPr>
          <w:p w:rsidR="00BA7B89" w:rsidRDefault="00BA7B89" w:rsidP="00FC137B"/>
        </w:tc>
        <w:tc>
          <w:tcPr>
            <w:tcW w:w="445" w:type="dxa"/>
          </w:tcPr>
          <w:p w:rsidR="00BA7B89" w:rsidRDefault="00BA7B89" w:rsidP="00FC137B"/>
        </w:tc>
      </w:tr>
      <w:tr w:rsidR="00BA7B89" w:rsidTr="00FC137B">
        <w:tc>
          <w:tcPr>
            <w:tcW w:w="1288"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337"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258" w:type="dxa"/>
          </w:tcPr>
          <w:p w:rsidR="00BA7B89" w:rsidRDefault="00BA7B89" w:rsidP="00FC137B"/>
        </w:tc>
        <w:tc>
          <w:tcPr>
            <w:tcW w:w="445" w:type="dxa"/>
          </w:tcPr>
          <w:p w:rsidR="00BA7B89" w:rsidRDefault="00BA7B89" w:rsidP="00FC137B"/>
        </w:tc>
      </w:tr>
      <w:tr w:rsidR="00BA7B89" w:rsidTr="00FC137B">
        <w:tc>
          <w:tcPr>
            <w:tcW w:w="1288"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337"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258" w:type="dxa"/>
          </w:tcPr>
          <w:p w:rsidR="00BA7B89" w:rsidRDefault="00BA7B89" w:rsidP="00FC137B"/>
        </w:tc>
        <w:tc>
          <w:tcPr>
            <w:tcW w:w="445" w:type="dxa"/>
          </w:tcPr>
          <w:p w:rsidR="00BA7B89" w:rsidRDefault="00BA7B89" w:rsidP="00FC137B"/>
        </w:tc>
      </w:tr>
      <w:tr w:rsidR="00BA7B89" w:rsidTr="00FC137B">
        <w:tc>
          <w:tcPr>
            <w:tcW w:w="1288"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337" w:type="dxa"/>
          </w:tcPr>
          <w:p w:rsidR="00BA7B89" w:rsidRDefault="00BA7B89" w:rsidP="00FC137B"/>
        </w:tc>
        <w:tc>
          <w:tcPr>
            <w:tcW w:w="1287" w:type="dxa"/>
          </w:tcPr>
          <w:p w:rsidR="00BA7B89" w:rsidRDefault="00BA7B89" w:rsidP="00FC137B"/>
        </w:tc>
        <w:tc>
          <w:tcPr>
            <w:tcW w:w="1337" w:type="dxa"/>
          </w:tcPr>
          <w:p w:rsidR="00BA7B89" w:rsidRDefault="00BA7B89" w:rsidP="00FC137B"/>
        </w:tc>
        <w:tc>
          <w:tcPr>
            <w:tcW w:w="1258" w:type="dxa"/>
          </w:tcPr>
          <w:p w:rsidR="00BA7B89" w:rsidRDefault="00BA7B89" w:rsidP="00FC137B"/>
        </w:tc>
        <w:tc>
          <w:tcPr>
            <w:tcW w:w="445" w:type="dxa"/>
          </w:tcPr>
          <w:p w:rsidR="00BA7B89" w:rsidRDefault="00BA7B89" w:rsidP="00FC137B"/>
        </w:tc>
      </w:tr>
    </w:tbl>
    <w:p w:rsidR="006908D3" w:rsidRDefault="006908D3">
      <w:bookmarkStart w:id="3" w:name="_GoBack"/>
      <w:bookmarkEnd w:id="3"/>
    </w:p>
    <w:sectPr w:rsidR="00690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B75C1"/>
    <w:multiLevelType w:val="hybridMultilevel"/>
    <w:tmpl w:val="6B0C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C63E1"/>
    <w:multiLevelType w:val="hybridMultilevel"/>
    <w:tmpl w:val="325A0B20"/>
    <w:lvl w:ilvl="0" w:tplc="348A0F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C5EAA"/>
    <w:multiLevelType w:val="hybridMultilevel"/>
    <w:tmpl w:val="BF4E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C26A6"/>
    <w:multiLevelType w:val="hybridMultilevel"/>
    <w:tmpl w:val="C71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7C"/>
    <w:rsid w:val="006908D3"/>
    <w:rsid w:val="00BA7B89"/>
    <w:rsid w:val="00BC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9A6F4-D23A-4CF1-AB3E-9C2D3FAC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B89"/>
    <w:pPr>
      <w:spacing w:after="0" w:line="240" w:lineRule="auto"/>
      <w:jc w:val="center"/>
    </w:pPr>
    <w:rPr>
      <w:sz w:val="24"/>
    </w:rPr>
  </w:style>
  <w:style w:type="paragraph" w:styleId="Heading1">
    <w:name w:val="heading 1"/>
    <w:basedOn w:val="Normal"/>
    <w:next w:val="Normal"/>
    <w:link w:val="Heading1Char"/>
    <w:uiPriority w:val="9"/>
    <w:qFormat/>
    <w:rsid w:val="00BA7B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7B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7B8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B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7B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7B8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A7B89"/>
    <w:pPr>
      <w:ind w:left="720"/>
      <w:contextualSpacing/>
    </w:pPr>
  </w:style>
  <w:style w:type="table" w:styleId="TableGrid">
    <w:name w:val="Table Grid"/>
    <w:basedOn w:val="TableNormal"/>
    <w:uiPriority w:val="59"/>
    <w:rsid w:val="00BA7B89"/>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B89"/>
    <w:pPr>
      <w:spacing w:before="100" w:beforeAutospacing="1" w:after="100" w:afterAutospacing="1"/>
      <w:jc w:val="left"/>
    </w:pPr>
    <w:rPr>
      <w:rFonts w:ascii="Times New Roman" w:eastAsia="Times New Roman" w:hAnsi="Times New Roman" w:cs="Times New Roman"/>
      <w:szCs w:val="24"/>
    </w:rPr>
  </w:style>
  <w:style w:type="character" w:styleId="Hyperlink">
    <w:name w:val="Hyperlink"/>
    <w:basedOn w:val="DefaultParagraphFont"/>
    <w:uiPriority w:val="99"/>
    <w:unhideWhenUsed/>
    <w:rsid w:val="00BA7B89"/>
    <w:rPr>
      <w:color w:val="0000FF"/>
      <w:u w:val="single"/>
    </w:rPr>
  </w:style>
  <w:style w:type="character" w:styleId="Strong">
    <w:name w:val="Strong"/>
    <w:basedOn w:val="DefaultParagraphFont"/>
    <w:uiPriority w:val="22"/>
    <w:qFormat/>
    <w:rsid w:val="00BA7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Trent</dc:creator>
  <cp:keywords/>
  <dc:description/>
  <cp:lastModifiedBy>Bennie Trent</cp:lastModifiedBy>
  <cp:revision>2</cp:revision>
  <dcterms:created xsi:type="dcterms:W3CDTF">2023-05-18T18:48:00Z</dcterms:created>
  <dcterms:modified xsi:type="dcterms:W3CDTF">2023-05-18T18:49:00Z</dcterms:modified>
</cp:coreProperties>
</file>