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A46" w:rsidRDefault="001E1C98" w:rsidP="00274A46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-923925</wp:posOffset>
            </wp:positionV>
            <wp:extent cx="3086100" cy="695325"/>
            <wp:effectExtent l="1905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734AA">
        <w:rPr>
          <w:sz w:val="24"/>
        </w:rPr>
        <w:tab/>
      </w:r>
      <w:r w:rsidR="009734AA">
        <w:rPr>
          <w:sz w:val="24"/>
        </w:rPr>
        <w:tab/>
      </w:r>
      <w:r w:rsidR="009734AA">
        <w:rPr>
          <w:sz w:val="24"/>
        </w:rPr>
        <w:tab/>
      </w:r>
      <w:r w:rsidR="009734AA">
        <w:rPr>
          <w:sz w:val="24"/>
        </w:rPr>
        <w:tab/>
      </w:r>
      <w:r w:rsidR="009734AA">
        <w:rPr>
          <w:sz w:val="24"/>
        </w:rPr>
        <w:tab/>
      </w:r>
      <w:r w:rsidR="009734AA">
        <w:rPr>
          <w:sz w:val="24"/>
        </w:rPr>
        <w:tab/>
      </w:r>
      <w:r w:rsidR="00274A46">
        <w:rPr>
          <w:sz w:val="24"/>
        </w:rPr>
        <w:tab/>
      </w:r>
      <w:r w:rsidR="00274A46">
        <w:rPr>
          <w:sz w:val="24"/>
        </w:rPr>
        <w:tab/>
      </w:r>
      <w:r w:rsidR="00274A46">
        <w:rPr>
          <w:sz w:val="24"/>
        </w:rPr>
        <w:tab/>
      </w:r>
      <w:r w:rsidR="00274A46">
        <w:rPr>
          <w:sz w:val="24"/>
        </w:rPr>
        <w:tab/>
      </w:r>
      <w:r w:rsidR="00274A46">
        <w:rPr>
          <w:sz w:val="24"/>
        </w:rPr>
        <w:tab/>
      </w:r>
      <w:r w:rsidR="00274A46">
        <w:rPr>
          <w:sz w:val="24"/>
        </w:rPr>
        <w:tab/>
      </w:r>
      <w:r w:rsidR="00274A46">
        <w:rPr>
          <w:sz w:val="24"/>
        </w:rPr>
        <w:tab/>
      </w:r>
    </w:p>
    <w:p w:rsidR="001E1C98" w:rsidRPr="001E1C98" w:rsidRDefault="000F683B" w:rsidP="00150378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TRACEABILITY POLICY</w:t>
      </w:r>
    </w:p>
    <w:p w:rsidR="001E1C98" w:rsidRPr="00BD2FA4" w:rsidRDefault="001E1C98" w:rsidP="00193786">
      <w:pPr>
        <w:rPr>
          <w:sz w:val="24"/>
          <w:szCs w:val="24"/>
        </w:rPr>
      </w:pPr>
    </w:p>
    <w:p w:rsidR="00A421B9" w:rsidRDefault="00A421B9" w:rsidP="00AD2391">
      <w:pPr>
        <w:ind w:left="360"/>
        <w:jc w:val="both"/>
        <w:rPr>
          <w:sz w:val="24"/>
          <w:szCs w:val="24"/>
        </w:rPr>
      </w:pPr>
      <w:r w:rsidRPr="00A421B9">
        <w:rPr>
          <w:sz w:val="24"/>
          <w:szCs w:val="24"/>
        </w:rPr>
        <w:t>As a part o</w:t>
      </w:r>
      <w:r>
        <w:rPr>
          <w:sz w:val="24"/>
          <w:szCs w:val="24"/>
        </w:rPr>
        <w:t>f</w:t>
      </w:r>
      <w:r w:rsidRPr="00A421B9">
        <w:rPr>
          <w:sz w:val="24"/>
          <w:szCs w:val="24"/>
        </w:rPr>
        <w:t xml:space="preserve"> the Adequacy of Food Safety Program, a formal </w:t>
      </w:r>
      <w:r w:rsidR="005A045B">
        <w:rPr>
          <w:sz w:val="24"/>
          <w:szCs w:val="24"/>
        </w:rPr>
        <w:t>Traceability</w:t>
      </w:r>
      <w:r w:rsidRPr="00A421B9">
        <w:rPr>
          <w:sz w:val="24"/>
          <w:szCs w:val="24"/>
        </w:rPr>
        <w:t xml:space="preserve"> Policy is in place at U.S.</w:t>
      </w:r>
      <w:r w:rsidR="005A04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Durum </w:t>
      </w:r>
      <w:r w:rsidRPr="00A421B9">
        <w:rPr>
          <w:sz w:val="24"/>
          <w:szCs w:val="24"/>
        </w:rPr>
        <w:t xml:space="preserve">Milling Inc. </w:t>
      </w:r>
      <w:r>
        <w:rPr>
          <w:sz w:val="24"/>
          <w:szCs w:val="24"/>
        </w:rPr>
        <w:t xml:space="preserve"> </w:t>
      </w:r>
      <w:r w:rsidR="005A045B">
        <w:rPr>
          <w:sz w:val="24"/>
          <w:szCs w:val="24"/>
        </w:rPr>
        <w:t>All documents required for the full traceability of products, ingredients, etc are verified to be accessible and current.  The following is a list of documents that have been verified to be maintained and accessible at any given time to trace food products</w:t>
      </w:r>
      <w:r w:rsidR="004A4B38">
        <w:rPr>
          <w:sz w:val="24"/>
          <w:szCs w:val="24"/>
        </w:rPr>
        <w:t>, ingredients, and materials</w:t>
      </w:r>
      <w:r w:rsidR="005A045B">
        <w:rPr>
          <w:sz w:val="24"/>
          <w:szCs w:val="24"/>
        </w:rPr>
        <w:t>:</w:t>
      </w:r>
    </w:p>
    <w:p w:rsidR="005A045B" w:rsidRDefault="005A045B" w:rsidP="00AD2391">
      <w:pPr>
        <w:ind w:left="360"/>
        <w:jc w:val="both"/>
        <w:rPr>
          <w:sz w:val="24"/>
          <w:szCs w:val="24"/>
        </w:rPr>
      </w:pPr>
    </w:p>
    <w:p w:rsidR="005A045B" w:rsidRDefault="005A045B" w:rsidP="005A045B">
      <w:pPr>
        <w:ind w:left="360"/>
        <w:rPr>
          <w:sz w:val="24"/>
          <w:szCs w:val="24"/>
        </w:rPr>
      </w:pPr>
    </w:p>
    <w:p w:rsidR="009B390A" w:rsidRPr="00262B7E" w:rsidRDefault="005A045B" w:rsidP="004A4B38">
      <w:pPr>
        <w:jc w:val="both"/>
        <w:rPr>
          <w:sz w:val="24"/>
          <w:szCs w:val="24"/>
        </w:rPr>
      </w:pPr>
      <w:r w:rsidRPr="00262B7E">
        <w:rPr>
          <w:sz w:val="24"/>
          <w:szCs w:val="24"/>
        </w:rPr>
        <w:t>Finished Products:</w:t>
      </w:r>
    </w:p>
    <w:p w:rsidR="005A045B" w:rsidRPr="00262B7E" w:rsidRDefault="005A045B" w:rsidP="004A4B3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62B7E">
        <w:rPr>
          <w:rFonts w:ascii="Times New Roman" w:hAnsi="Times New Roman"/>
          <w:sz w:val="24"/>
          <w:szCs w:val="24"/>
        </w:rPr>
        <w:t>Customer Specifications</w:t>
      </w:r>
    </w:p>
    <w:p w:rsidR="005A045B" w:rsidRPr="00262B7E" w:rsidRDefault="005A045B" w:rsidP="004A4B3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62B7E">
        <w:rPr>
          <w:rFonts w:ascii="Times New Roman" w:hAnsi="Times New Roman"/>
          <w:sz w:val="24"/>
          <w:szCs w:val="24"/>
        </w:rPr>
        <w:t>Internal Specifications</w:t>
      </w:r>
    </w:p>
    <w:p w:rsidR="005A045B" w:rsidRPr="00262B7E" w:rsidRDefault="005A045B" w:rsidP="004A4B3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62B7E">
        <w:rPr>
          <w:rFonts w:ascii="Times New Roman" w:hAnsi="Times New Roman"/>
          <w:sz w:val="24"/>
          <w:szCs w:val="24"/>
        </w:rPr>
        <w:t>Shipping Manifests: Loadout Report</w:t>
      </w:r>
    </w:p>
    <w:p w:rsidR="005A045B" w:rsidRPr="00262B7E" w:rsidRDefault="005A045B" w:rsidP="004A4B3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62B7E">
        <w:rPr>
          <w:rFonts w:ascii="Times New Roman" w:hAnsi="Times New Roman"/>
          <w:sz w:val="24"/>
          <w:szCs w:val="24"/>
        </w:rPr>
        <w:t>Trailer Inspections: Incoming Inspection SOP/Logs, Pressure Cleaning SOP, Seal Inspection Reports, Preload cleaning procedures</w:t>
      </w:r>
    </w:p>
    <w:p w:rsidR="005A045B" w:rsidRPr="00262B7E" w:rsidRDefault="005A045B" w:rsidP="004A4B3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62B7E">
        <w:rPr>
          <w:rFonts w:ascii="Times New Roman" w:hAnsi="Times New Roman"/>
          <w:sz w:val="24"/>
          <w:szCs w:val="24"/>
        </w:rPr>
        <w:t>Results of internal testing: Production Sheets</w:t>
      </w:r>
    </w:p>
    <w:p w:rsidR="005A045B" w:rsidRPr="00262B7E" w:rsidRDefault="005A045B" w:rsidP="004A4B3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62B7E">
        <w:rPr>
          <w:rFonts w:ascii="Times New Roman" w:hAnsi="Times New Roman"/>
          <w:sz w:val="24"/>
          <w:szCs w:val="24"/>
        </w:rPr>
        <w:t>Process Control/Instructions</w:t>
      </w:r>
    </w:p>
    <w:p w:rsidR="005A045B" w:rsidRPr="00262B7E" w:rsidRDefault="004A4B38" w:rsidP="004A4B3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62B7E">
        <w:rPr>
          <w:rFonts w:ascii="Times New Roman" w:hAnsi="Times New Roman"/>
          <w:sz w:val="24"/>
          <w:szCs w:val="24"/>
        </w:rPr>
        <w:t>Pack control: Loadout Reports (with weights/seals)</w:t>
      </w:r>
    </w:p>
    <w:p w:rsidR="004A4B38" w:rsidRPr="00262B7E" w:rsidRDefault="004A4B38" w:rsidP="004A4B3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62B7E">
        <w:rPr>
          <w:rFonts w:ascii="Times New Roman" w:hAnsi="Times New Roman"/>
          <w:sz w:val="24"/>
          <w:szCs w:val="24"/>
        </w:rPr>
        <w:t>Packing Instructions: Car cleaning/loading SOP</w:t>
      </w:r>
    </w:p>
    <w:p w:rsidR="004A4B38" w:rsidRPr="00262B7E" w:rsidRDefault="004A4B38" w:rsidP="004A4B3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62B7E">
        <w:rPr>
          <w:rFonts w:ascii="Times New Roman" w:hAnsi="Times New Roman"/>
          <w:sz w:val="24"/>
          <w:szCs w:val="24"/>
        </w:rPr>
        <w:t>Weight Checks: Loadout Reports (with weights/seals)</w:t>
      </w:r>
    </w:p>
    <w:p w:rsidR="004A4B38" w:rsidRPr="00262B7E" w:rsidRDefault="004A4B38" w:rsidP="004A4B3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62B7E">
        <w:rPr>
          <w:rFonts w:ascii="Times New Roman" w:hAnsi="Times New Roman"/>
          <w:sz w:val="24"/>
          <w:szCs w:val="24"/>
        </w:rPr>
        <w:t>Pre-operational inspection: Railcar pre-load checklists</w:t>
      </w:r>
    </w:p>
    <w:p w:rsidR="004A4B38" w:rsidRPr="00262B7E" w:rsidRDefault="004A4B38" w:rsidP="004A4B3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62B7E">
        <w:rPr>
          <w:rFonts w:ascii="Times New Roman" w:hAnsi="Times New Roman"/>
          <w:sz w:val="24"/>
          <w:szCs w:val="24"/>
        </w:rPr>
        <w:t xml:space="preserve">Cleaning Records: Power-Washing SOP, Pressure </w:t>
      </w:r>
      <w:proofErr w:type="spellStart"/>
      <w:r w:rsidRPr="00262B7E">
        <w:rPr>
          <w:rFonts w:ascii="Times New Roman" w:hAnsi="Times New Roman"/>
          <w:sz w:val="24"/>
          <w:szCs w:val="24"/>
        </w:rPr>
        <w:t>cleaining</w:t>
      </w:r>
      <w:proofErr w:type="spellEnd"/>
      <w:r w:rsidRPr="00262B7E">
        <w:rPr>
          <w:rFonts w:ascii="Times New Roman" w:hAnsi="Times New Roman"/>
          <w:sz w:val="24"/>
          <w:szCs w:val="24"/>
        </w:rPr>
        <w:t xml:space="preserve"> SOP</w:t>
      </w:r>
    </w:p>
    <w:p w:rsidR="004A4B38" w:rsidRPr="00262B7E" w:rsidRDefault="004A4B38" w:rsidP="004A4B3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62B7E">
        <w:rPr>
          <w:rFonts w:ascii="Times New Roman" w:hAnsi="Times New Roman"/>
          <w:sz w:val="24"/>
          <w:szCs w:val="24"/>
        </w:rPr>
        <w:t>Shelf-life validation/verification: Individual Product Specification Sheets, Shelf Life Statement</w:t>
      </w:r>
    </w:p>
    <w:p w:rsidR="004A4B38" w:rsidRPr="00262B7E" w:rsidRDefault="004A4B38" w:rsidP="004A4B3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62B7E">
        <w:rPr>
          <w:rFonts w:ascii="Times New Roman" w:hAnsi="Times New Roman"/>
          <w:sz w:val="24"/>
          <w:szCs w:val="24"/>
        </w:rPr>
        <w:t>Checks/verification of measurement devices: Equipment calibrations SOP, Quality Monitoring/Verification SOP, Calibration Records (Balances, Ovens, Magnets, Scales, etc.)</w:t>
      </w:r>
    </w:p>
    <w:p w:rsidR="004A4B38" w:rsidRPr="00262B7E" w:rsidRDefault="004A4B38" w:rsidP="004A4B3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62B7E">
        <w:rPr>
          <w:rFonts w:ascii="Times New Roman" w:hAnsi="Times New Roman"/>
          <w:sz w:val="24"/>
          <w:szCs w:val="24"/>
        </w:rPr>
        <w:t>Shipping Procedures: COAs with Bill of Lading</w:t>
      </w:r>
    </w:p>
    <w:p w:rsidR="004A4B38" w:rsidRPr="00262B7E" w:rsidRDefault="004A4B38" w:rsidP="004A4B3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62B7E">
        <w:rPr>
          <w:rFonts w:ascii="Times New Roman" w:hAnsi="Times New Roman"/>
          <w:sz w:val="24"/>
          <w:szCs w:val="24"/>
        </w:rPr>
        <w:t>SSOPs: Sanitation Policy SOP, Master Sanitation Schedule, Rags Usage Policy SOP</w:t>
      </w:r>
    </w:p>
    <w:p w:rsidR="004A4B38" w:rsidRPr="00262B7E" w:rsidRDefault="004A4B38" w:rsidP="004A4B3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62B7E">
        <w:rPr>
          <w:rFonts w:ascii="Times New Roman" w:hAnsi="Times New Roman"/>
          <w:sz w:val="24"/>
          <w:szCs w:val="24"/>
        </w:rPr>
        <w:t>Testing Methods: QA Laboratory Manual</w:t>
      </w:r>
    </w:p>
    <w:p w:rsidR="004A4B38" w:rsidRPr="00262B7E" w:rsidRDefault="004A4B38" w:rsidP="004A4B3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62B7E">
        <w:rPr>
          <w:rFonts w:ascii="Times New Roman" w:hAnsi="Times New Roman"/>
          <w:sz w:val="24"/>
          <w:szCs w:val="24"/>
        </w:rPr>
        <w:t>Calibration procedures: Equipment calibrations SOP, Quality Monitoring/Verification SOP, Calibration Records (Balances, Ovens, Magnets, Scales, etc.)</w:t>
      </w:r>
    </w:p>
    <w:p w:rsidR="004A4B38" w:rsidRPr="00262B7E" w:rsidRDefault="004A4B38" w:rsidP="004A4B38">
      <w:pPr>
        <w:jc w:val="both"/>
        <w:rPr>
          <w:sz w:val="24"/>
          <w:szCs w:val="24"/>
        </w:rPr>
      </w:pPr>
    </w:p>
    <w:p w:rsidR="004A4B38" w:rsidRPr="00262B7E" w:rsidRDefault="004A4B38" w:rsidP="004A4B38">
      <w:pPr>
        <w:jc w:val="both"/>
        <w:rPr>
          <w:sz w:val="24"/>
          <w:szCs w:val="24"/>
        </w:rPr>
      </w:pPr>
      <w:r w:rsidRPr="00262B7E">
        <w:rPr>
          <w:sz w:val="24"/>
          <w:szCs w:val="24"/>
        </w:rPr>
        <w:t>Ingredients:</w:t>
      </w:r>
    </w:p>
    <w:p w:rsidR="004A4B38" w:rsidRPr="00262B7E" w:rsidRDefault="004A4B38" w:rsidP="004A4B38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262B7E">
        <w:rPr>
          <w:rFonts w:ascii="Times New Roman" w:hAnsi="Times New Roman"/>
          <w:sz w:val="24"/>
          <w:szCs w:val="24"/>
        </w:rPr>
        <w:t>Supplier Specifications: Product data sheets</w:t>
      </w:r>
    </w:p>
    <w:p w:rsidR="004A4B38" w:rsidRDefault="004A4B38" w:rsidP="004A4B38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262B7E">
        <w:rPr>
          <w:rFonts w:ascii="Times New Roman" w:hAnsi="Times New Roman"/>
          <w:sz w:val="24"/>
          <w:szCs w:val="24"/>
        </w:rPr>
        <w:t>Internal Specification</w:t>
      </w:r>
      <w:r w:rsidR="00262B7E">
        <w:rPr>
          <w:rFonts w:ascii="Times New Roman" w:hAnsi="Times New Roman"/>
          <w:sz w:val="24"/>
          <w:szCs w:val="24"/>
        </w:rPr>
        <w:t>s: Product specification sheets, Internal Statements (</w:t>
      </w:r>
      <w:proofErr w:type="spellStart"/>
      <w:r w:rsidR="00262B7E">
        <w:rPr>
          <w:rFonts w:ascii="Times New Roman" w:hAnsi="Times New Roman"/>
          <w:sz w:val="24"/>
          <w:szCs w:val="24"/>
        </w:rPr>
        <w:t>ie</w:t>
      </w:r>
      <w:proofErr w:type="spellEnd"/>
      <w:r w:rsidR="00262B7E">
        <w:rPr>
          <w:rFonts w:ascii="Times New Roman" w:hAnsi="Times New Roman"/>
          <w:sz w:val="24"/>
          <w:szCs w:val="24"/>
        </w:rPr>
        <w:t>. Enrichment Statement)</w:t>
      </w:r>
    </w:p>
    <w:p w:rsidR="00262B7E" w:rsidRDefault="00262B7E" w:rsidP="004A4B38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Allergen Declaration: Allergen Statements from Suppliers</w:t>
      </w:r>
    </w:p>
    <w:p w:rsidR="00262B7E" w:rsidRDefault="00262B7E" w:rsidP="004A4B38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Letters of Guarantee: Supplier and Internal Guarantees</w:t>
      </w:r>
    </w:p>
    <w:p w:rsidR="00262B7E" w:rsidRDefault="00262B7E" w:rsidP="004A4B38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Receiving Manifest: Incoming Carrier Inspection SOP, Ingredient Receiving Logs (Enrichment, Bags, etc.), Bill of Ladings with shipments</w:t>
      </w:r>
    </w:p>
    <w:p w:rsidR="00262B7E" w:rsidRDefault="00262B7E" w:rsidP="004A4B38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Trailer Inspection: Incoming Carrier Inspection SOP, Ingredient Receiving Logs (Enrichment, Bags, etc.)</w:t>
      </w:r>
    </w:p>
    <w:p w:rsidR="00262B7E" w:rsidRDefault="00262B7E" w:rsidP="004A4B38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Supplier approval records: Supplier Approval / Verification Program SOP, Supplier audit documents</w:t>
      </w:r>
    </w:p>
    <w:p w:rsidR="00262B7E" w:rsidRDefault="00262B7E" w:rsidP="004A4B38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Results of internal testing: monthly audit results (enrichment), verification of results through 3</w:t>
      </w:r>
      <w:r w:rsidRPr="00262B7E">
        <w:rPr>
          <w:rFonts w:ascii="Times New Roman" w:hAnsi="Times New Roman"/>
          <w:sz w:val="24"/>
          <w:szCs w:val="24"/>
          <w:vertAlign w:val="superscript"/>
        </w:rPr>
        <w:t>rd</w:t>
      </w:r>
      <w:r>
        <w:rPr>
          <w:rFonts w:ascii="Times New Roman" w:hAnsi="Times New Roman"/>
          <w:sz w:val="24"/>
          <w:szCs w:val="24"/>
        </w:rPr>
        <w:t xml:space="preserve"> part labs and customer results.</w:t>
      </w:r>
    </w:p>
    <w:p w:rsidR="00262B7E" w:rsidRDefault="00262B7E" w:rsidP="004A4B38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Certificates of Analysis: Supplier Letters of Continuing Guarantee, COAs included with ingredient shipments.</w:t>
      </w:r>
    </w:p>
    <w:p w:rsidR="00262B7E" w:rsidRDefault="00262B7E" w:rsidP="004A4B38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Receiving Procedures: Incoming Carrier Inspection SOP, Ingredient Receiving Logs (Enrichment, Bags, etc.)</w:t>
      </w:r>
    </w:p>
    <w:p w:rsidR="00262B7E" w:rsidRDefault="00262B7E" w:rsidP="004A4B38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Supplier management procedures: Supplier Approval / Verification Program SOP, Supplier audit documents</w:t>
      </w:r>
    </w:p>
    <w:p w:rsidR="00262B7E" w:rsidRDefault="00262B7E" w:rsidP="00262B7E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262B7E">
        <w:rPr>
          <w:rFonts w:ascii="Times New Roman" w:hAnsi="Times New Roman"/>
          <w:sz w:val="24"/>
          <w:szCs w:val="24"/>
        </w:rPr>
        <w:t>Approved supplier list: Supplier Approval / Verification Program SOP</w:t>
      </w:r>
    </w:p>
    <w:p w:rsidR="00262B7E" w:rsidRDefault="00262B7E" w:rsidP="00262B7E">
      <w:pPr>
        <w:jc w:val="both"/>
        <w:rPr>
          <w:sz w:val="24"/>
          <w:szCs w:val="24"/>
        </w:rPr>
      </w:pPr>
    </w:p>
    <w:p w:rsidR="00262B7E" w:rsidRDefault="00262B7E" w:rsidP="00262B7E">
      <w:pPr>
        <w:jc w:val="both"/>
        <w:rPr>
          <w:sz w:val="24"/>
          <w:szCs w:val="24"/>
        </w:rPr>
      </w:pPr>
    </w:p>
    <w:p w:rsidR="00262B7E" w:rsidRDefault="00262B7E" w:rsidP="00262B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 of these documents have been verified to be readily available both electronically and in paper form.  All can be gathered within an allotted time to complete a full trace of </w:t>
      </w:r>
      <w:r w:rsidR="00AE5F83">
        <w:rPr>
          <w:sz w:val="24"/>
          <w:szCs w:val="24"/>
        </w:rPr>
        <w:t>a given product or ingredient.</w:t>
      </w:r>
    </w:p>
    <w:p w:rsidR="00AE5F83" w:rsidRDefault="00AE5F83" w:rsidP="00262B7E">
      <w:pPr>
        <w:jc w:val="both"/>
        <w:rPr>
          <w:sz w:val="24"/>
          <w:szCs w:val="24"/>
        </w:rPr>
      </w:pPr>
    </w:p>
    <w:p w:rsidR="00121A10" w:rsidRPr="003F7385" w:rsidRDefault="00121A10" w:rsidP="00121A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Over all review of the procedures being adopted for the “Traceability Policy” program adequacy and complaints received during the past year is being performed routinely as a part of inputs at the time of annual Food Safety/HACCP review meetings.   </w:t>
      </w:r>
    </w:p>
    <w:p w:rsidR="0047011E" w:rsidRDefault="0047011E" w:rsidP="00262B7E">
      <w:pPr>
        <w:jc w:val="both"/>
        <w:rPr>
          <w:sz w:val="24"/>
          <w:szCs w:val="24"/>
        </w:rPr>
      </w:pPr>
    </w:p>
    <w:p w:rsidR="0047011E" w:rsidRDefault="0047011E" w:rsidP="00262B7E">
      <w:pPr>
        <w:jc w:val="both"/>
        <w:rPr>
          <w:sz w:val="24"/>
          <w:szCs w:val="24"/>
        </w:rPr>
      </w:pPr>
    </w:p>
    <w:p w:rsidR="006847AE" w:rsidRPr="00262B7E" w:rsidRDefault="006847AE">
      <w:pPr>
        <w:jc w:val="both"/>
        <w:rPr>
          <w:sz w:val="24"/>
          <w:szCs w:val="24"/>
        </w:rPr>
      </w:pPr>
    </w:p>
    <w:sectPr w:rsidR="006847AE" w:rsidRPr="00262B7E" w:rsidSect="00CE640B">
      <w:headerReference w:type="default" r:id="rId8"/>
      <w:footerReference w:type="default" r:id="rId9"/>
      <w:pgSz w:w="12240" w:h="15840"/>
      <w:pgMar w:top="1440" w:right="108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51E" w:rsidRDefault="001B051E" w:rsidP="00CB7382">
      <w:r>
        <w:separator/>
      </w:r>
    </w:p>
  </w:endnote>
  <w:endnote w:type="continuationSeparator" w:id="0">
    <w:p w:rsidR="001B051E" w:rsidRDefault="001B051E" w:rsidP="00CB73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51E" w:rsidRDefault="001B051E">
    <w:pPr>
      <w:pStyle w:val="Footer"/>
    </w:pPr>
    <w:r>
      <w:t>I-790-009</w:t>
    </w:r>
    <w:r>
      <w:ptab w:relativeTo="margin" w:alignment="center" w:leader="none"/>
    </w:r>
    <w:r>
      <w:t xml:space="preserve">Page </w:t>
    </w:r>
    <w:fldSimple w:instr=" PAGE   \* MERGEFORMAT ">
      <w:r w:rsidR="007A0970">
        <w:rPr>
          <w:noProof/>
        </w:rPr>
        <w:t>1</w:t>
      </w:r>
    </w:fldSimple>
    <w:r>
      <w:t xml:space="preserve"> of </w:t>
    </w:r>
    <w:fldSimple w:instr=" NUMPAGES   \* MERGEFORMAT ">
      <w:r w:rsidR="007A0970">
        <w:rPr>
          <w:noProof/>
        </w:rPr>
        <w:t>2</w:t>
      </w:r>
    </w:fldSimple>
    <w:r>
      <w:ptab w:relativeTo="margin" w:alignment="right" w:leader="none"/>
    </w:r>
    <w:r>
      <w:t>Rev.1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51E" w:rsidRDefault="001B051E" w:rsidP="00CB7382">
      <w:r>
        <w:separator/>
      </w:r>
    </w:p>
  </w:footnote>
  <w:footnote w:type="continuationSeparator" w:id="0">
    <w:p w:rsidR="001B051E" w:rsidRDefault="001B051E" w:rsidP="00CB73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51E" w:rsidRDefault="001B051E" w:rsidP="00CB7382">
    <w:pPr>
      <w:pStyle w:val="Header"/>
      <w:pBdr>
        <w:bottom w:val="thickThinSmallGap" w:sz="24" w:space="1" w:color="622423"/>
      </w:pBdr>
      <w:jc w:val="right"/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>S O P</w:t>
    </w:r>
  </w:p>
  <w:p w:rsidR="001B051E" w:rsidRDefault="001B051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E07A1"/>
    <w:multiLevelType w:val="hybridMultilevel"/>
    <w:tmpl w:val="9634E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942D56"/>
    <w:multiLevelType w:val="hybridMultilevel"/>
    <w:tmpl w:val="067C0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305DB"/>
    <w:multiLevelType w:val="hybridMultilevel"/>
    <w:tmpl w:val="9834A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5722E"/>
    <w:multiLevelType w:val="hybridMultilevel"/>
    <w:tmpl w:val="2D56B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B97039"/>
    <w:multiLevelType w:val="hybridMultilevel"/>
    <w:tmpl w:val="09C41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186A21"/>
    <w:multiLevelType w:val="hybridMultilevel"/>
    <w:tmpl w:val="5F468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a0NDI1MzcxMTI1MDE3MTVQ0lEKTi0uzszPAykwrAUA9T9XjSwAAAA="/>
  </w:docVars>
  <w:rsids>
    <w:rsidRoot w:val="00BF26A2"/>
    <w:rsid w:val="00017B9E"/>
    <w:rsid w:val="000E5D9D"/>
    <w:rsid w:val="000F683B"/>
    <w:rsid w:val="00121A10"/>
    <w:rsid w:val="001460AE"/>
    <w:rsid w:val="00150378"/>
    <w:rsid w:val="00171A66"/>
    <w:rsid w:val="00193786"/>
    <w:rsid w:val="001A2C86"/>
    <w:rsid w:val="001B051E"/>
    <w:rsid w:val="001E1C98"/>
    <w:rsid w:val="00217773"/>
    <w:rsid w:val="0025044E"/>
    <w:rsid w:val="00262B7E"/>
    <w:rsid w:val="002643F6"/>
    <w:rsid w:val="00266461"/>
    <w:rsid w:val="00271CB0"/>
    <w:rsid w:val="00274A46"/>
    <w:rsid w:val="002E71F2"/>
    <w:rsid w:val="00356FD4"/>
    <w:rsid w:val="00366B5B"/>
    <w:rsid w:val="00376E47"/>
    <w:rsid w:val="003D2C28"/>
    <w:rsid w:val="00450CF3"/>
    <w:rsid w:val="0047011E"/>
    <w:rsid w:val="004A4B38"/>
    <w:rsid w:val="004B22F1"/>
    <w:rsid w:val="004D43D7"/>
    <w:rsid w:val="004D7A72"/>
    <w:rsid w:val="00500C0E"/>
    <w:rsid w:val="00513020"/>
    <w:rsid w:val="005765BE"/>
    <w:rsid w:val="005A045B"/>
    <w:rsid w:val="005A5A8B"/>
    <w:rsid w:val="005F0B75"/>
    <w:rsid w:val="00615860"/>
    <w:rsid w:val="00654241"/>
    <w:rsid w:val="00661EF5"/>
    <w:rsid w:val="00670488"/>
    <w:rsid w:val="006847AE"/>
    <w:rsid w:val="006878BB"/>
    <w:rsid w:val="006A5EF2"/>
    <w:rsid w:val="006C1CD3"/>
    <w:rsid w:val="006C4979"/>
    <w:rsid w:val="006C76B4"/>
    <w:rsid w:val="006F7955"/>
    <w:rsid w:val="00721ECA"/>
    <w:rsid w:val="007A0970"/>
    <w:rsid w:val="007F136A"/>
    <w:rsid w:val="00801578"/>
    <w:rsid w:val="00832C28"/>
    <w:rsid w:val="008366EF"/>
    <w:rsid w:val="0084591F"/>
    <w:rsid w:val="008C4C03"/>
    <w:rsid w:val="009734AA"/>
    <w:rsid w:val="00992F7B"/>
    <w:rsid w:val="009B390A"/>
    <w:rsid w:val="009F7762"/>
    <w:rsid w:val="00A421B9"/>
    <w:rsid w:val="00AB2C97"/>
    <w:rsid w:val="00AD2391"/>
    <w:rsid w:val="00AE5F83"/>
    <w:rsid w:val="00B96710"/>
    <w:rsid w:val="00BA40E3"/>
    <w:rsid w:val="00BA75E0"/>
    <w:rsid w:val="00BD2FA4"/>
    <w:rsid w:val="00BF26A2"/>
    <w:rsid w:val="00C20D6A"/>
    <w:rsid w:val="00C7260A"/>
    <w:rsid w:val="00C820E1"/>
    <w:rsid w:val="00CB7382"/>
    <w:rsid w:val="00CC683E"/>
    <w:rsid w:val="00CE060C"/>
    <w:rsid w:val="00CE640B"/>
    <w:rsid w:val="00D02339"/>
    <w:rsid w:val="00D27D3D"/>
    <w:rsid w:val="00D60656"/>
    <w:rsid w:val="00DA68BA"/>
    <w:rsid w:val="00DC2153"/>
    <w:rsid w:val="00DE4113"/>
    <w:rsid w:val="00DF2E36"/>
    <w:rsid w:val="00E122DA"/>
    <w:rsid w:val="00E44B7C"/>
    <w:rsid w:val="00E65AC8"/>
    <w:rsid w:val="00E94C18"/>
    <w:rsid w:val="00EA1CC8"/>
    <w:rsid w:val="00EB7368"/>
    <w:rsid w:val="00F424BA"/>
    <w:rsid w:val="00F54255"/>
    <w:rsid w:val="00F94771"/>
    <w:rsid w:val="00FD3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40B"/>
  </w:style>
  <w:style w:type="paragraph" w:styleId="Heading1">
    <w:name w:val="heading 1"/>
    <w:basedOn w:val="Normal"/>
    <w:next w:val="Normal"/>
    <w:qFormat/>
    <w:rsid w:val="00CE640B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CE640B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CE640B"/>
    <w:pPr>
      <w:keepNext/>
      <w:ind w:left="-540" w:firstLine="54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CE640B"/>
    <w:pPr>
      <w:keepNext/>
      <w:ind w:left="-180" w:firstLine="180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E640B"/>
    <w:pPr>
      <w:ind w:left="720"/>
      <w:jc w:val="both"/>
    </w:pPr>
    <w:rPr>
      <w:sz w:val="24"/>
    </w:rPr>
  </w:style>
  <w:style w:type="paragraph" w:styleId="BodyText">
    <w:name w:val="Body Text"/>
    <w:basedOn w:val="Normal"/>
    <w:rsid w:val="00CE640B"/>
    <w:pPr>
      <w:jc w:val="both"/>
    </w:pPr>
    <w:rPr>
      <w:sz w:val="24"/>
    </w:rPr>
  </w:style>
  <w:style w:type="character" w:styleId="Hyperlink">
    <w:name w:val="Hyperlink"/>
    <w:basedOn w:val="DefaultParagraphFont"/>
    <w:rsid w:val="00CE640B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CB73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B7382"/>
  </w:style>
  <w:style w:type="paragraph" w:styleId="Footer">
    <w:name w:val="footer"/>
    <w:basedOn w:val="Normal"/>
    <w:link w:val="FooterChar"/>
    <w:uiPriority w:val="99"/>
    <w:semiHidden/>
    <w:unhideWhenUsed/>
    <w:rsid w:val="00CB73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7382"/>
  </w:style>
  <w:style w:type="paragraph" w:styleId="BalloonText">
    <w:name w:val="Balloon Text"/>
    <w:basedOn w:val="Normal"/>
    <w:link w:val="BalloonTextChar"/>
    <w:uiPriority w:val="99"/>
    <w:semiHidden/>
    <w:unhideWhenUsed/>
    <w:rsid w:val="00CB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3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2339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7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432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 O P</vt:lpstr>
    </vt:vector>
  </TitlesOfParts>
  <Company>Italgrani</Company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O P</dc:title>
  <dc:creator>nbrammeier</dc:creator>
  <cp:lastModifiedBy>nbrammeier</cp:lastModifiedBy>
  <cp:revision>14</cp:revision>
  <cp:lastPrinted>2018-01-11T14:57:00Z</cp:lastPrinted>
  <dcterms:created xsi:type="dcterms:W3CDTF">2018-01-11T14:46:00Z</dcterms:created>
  <dcterms:modified xsi:type="dcterms:W3CDTF">2019-01-21T18:06:00Z</dcterms:modified>
</cp:coreProperties>
</file>